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spacing w:before="120" w:beforeAutospacing="0" w:after="120" w:afterAutospacing="0" w:line="360" w:lineRule="auto"/>
        <w:rPr>
          <w:highlight w:val="none"/>
        </w:rPr>
      </w:pPr>
      <w:r>
        <w:rPr>
          <w:highlight w:val="none"/>
        </w:rPr>
        <w:t xml:space="preserve"> </w:t>
      </w:r>
      <w:r/>
    </w:p>
    <w:p>
      <w:pPr>
        <w:pStyle w:val="708"/>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708"/>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08"/>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08"/>
        <w:ind w:left="2244" w:hanging="1606"/>
        <w:spacing w:before="120" w:beforeAutospacing="0" w:after="120" w:afterAutospacing="0" w:line="360" w:lineRule="auto"/>
        <w:rPr>
          <w:rFonts w:hint="eastAsia" w:ascii="Arial" w:hAnsi="Arial" w:cs="Arial"/>
          <w:b/>
          <w:color w:val="000000"/>
          <w:sz w:val="32"/>
          <w:szCs w:val="32"/>
          <w:highlight w:val="none"/>
          <w:lang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东台市农村乱占耕地建房住宅类房屋专项整治项目</w:t>
      </w:r>
      <w:r/>
    </w:p>
    <w:p>
      <w:pPr>
        <w:pStyle w:val="708"/>
        <w:ind w:firstLine="2249"/>
        <w:spacing w:before="120" w:beforeAutospacing="0" w:after="120" w:afterAutospacing="0" w:line="360" w:lineRule="auto"/>
        <w:rPr>
          <w:highlight w:val="none"/>
        </w:rPr>
      </w:pPr>
      <w:r>
        <w:rPr>
          <w:highlight w:val="none"/>
        </w:rPr>
      </w:r>
      <w:r/>
    </w:p>
    <w:p>
      <w:pPr>
        <w:pStyle w:val="708"/>
        <w:ind w:firstLine="643"/>
        <w:jc w:val="both"/>
        <w:spacing w:beforeAutospacing="0" w:afterAutospacing="0"/>
        <w:rPr>
          <w:rFonts w:hint="default" w:eastAsiaTheme="minorEastAsia"/>
          <w:color w:val="ff0000"/>
          <w:highlight w:val="none"/>
          <w:lang w:val="en-US" w:eastAsia="zh-CN"/>
        </w:rPr>
      </w:pPr>
      <w:r>
        <w:rPr>
          <w:rFonts w:ascii="Times New Roman" w:hAnsi="Times New Roman"/>
          <w:b/>
          <w:color w:val="ff0000"/>
          <w:sz w:val="32"/>
          <w:szCs w:val="32"/>
          <w:highlight w:val="none"/>
        </w:rPr>
        <w:t xml:space="preserve">项目编号：</w:t>
      </w:r>
      <w:r>
        <w:rPr>
          <w:rFonts w:hint="eastAsia" w:ascii="Arial" w:hAnsi="Arial" w:cs="Arial"/>
          <w:b/>
          <w:color w:val="ff0000"/>
          <w:sz w:val="32"/>
          <w:szCs w:val="32"/>
          <w:highlight w:val="none"/>
        </w:rPr>
        <w:t xml:space="preserve">JSZC-320981-BJZC-G2025-0034</w:t>
      </w:r>
      <w:r/>
    </w:p>
    <w:p>
      <w:pPr>
        <w:pStyle w:val="708"/>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08"/>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08"/>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08"/>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08"/>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08"/>
        <w:jc w:val="center"/>
        <w:spacing w:before="120" w:beforeAutospacing="0" w:after="120" w:afterAutospacing="0" w:line="360" w:lineRule="auto"/>
        <w:rPr>
          <w:rFonts w:hint="default" w:ascii="Arial" w:hAnsi="Arial" w:cs="Arial"/>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东台市农业农村局</w:t>
      </w:r>
      <w:r/>
    </w:p>
    <w:p>
      <w:pPr>
        <w:pStyle w:val="708"/>
        <w:jc w:val="center"/>
        <w:spacing w:before="120" w:beforeAutospacing="0" w:after="120" w:afterAutospacing="0" w:line="360" w:lineRule="auto"/>
        <w:rPr>
          <w:rFonts w:hint="default"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采购代理机构：北京中昌工程咨询有限公司</w:t>
      </w:r>
      <w:r/>
    </w:p>
    <w:p>
      <w:pPr>
        <w:pStyle w:val="708"/>
        <w:jc w:val="center"/>
        <w:spacing w:before="120" w:beforeAutospacing="0" w:after="120" w:afterAutospacing="0" w:line="360" w:lineRule="auto"/>
        <w:rPr>
          <w:highlight w:val="none"/>
        </w:rPr>
      </w:pPr>
      <w:r>
        <w:rPr>
          <w:rFonts w:hint="eastAsia" w:ascii="Arial" w:hAnsi="Arial" w:cs="Arial"/>
          <w:b/>
          <w:color w:val="000000"/>
          <w:sz w:val="32"/>
          <w:szCs w:val="32"/>
          <w:highlight w:val="none"/>
          <w:u w:val="singl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u w:val="single"/>
          <w:lang w:val="en-US" w:eastAsia="zh-CN"/>
        </w:rPr>
        <w:t xml:space="preserve">11</w:t>
      </w:r>
      <w:r>
        <w:rPr>
          <w:rFonts w:ascii="Arial" w:hAnsi="Arial" w:cs="Arial"/>
          <w:b/>
          <w:color w:val="000000"/>
          <w:sz w:val="32"/>
          <w:szCs w:val="32"/>
          <w:highlight w:val="none"/>
        </w:rPr>
        <w:t xml:space="preserve">月</w:t>
      </w:r>
      <w:r/>
    </w:p>
    <w:p>
      <w:pPr>
        <w:pStyle w:val="708"/>
        <w:jc w:val="center"/>
        <w:spacing w:before="120" w:beforeAutospacing="0" w:after="120" w:afterAutospacing="0" w:line="360" w:lineRule="auto"/>
        <w:rPr>
          <w:highlight w:val="none"/>
        </w:rPr>
      </w:pPr>
      <w:r>
        <w:rPr>
          <w:highlight w:val="none"/>
        </w:rPr>
      </w:r>
      <w:r/>
    </w:p>
    <w:p>
      <w:pPr>
        <w:pStyle w:val="708"/>
        <w:jc w:val="center"/>
        <w:spacing w:beforeAutospacing="0" w:afterAutospacing="0" w:line="480" w:lineRule="auto"/>
        <w:rPr>
          <w:rFonts w:ascii="黑体" w:hAnsi="宋体" w:eastAsia="黑体" w:cs="黑体"/>
          <w:b/>
          <w:color w:val="000000"/>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513029200"/>
      <w:r/>
      <w:bookmarkStart w:id="1" w:name="_Toc20823272"/>
      <w:r/>
      <w:bookmarkStart w:id="2" w:name="_Toc120614210"/>
      <w:r/>
      <w:bookmarkStart w:id="3" w:name="_Toc523127445"/>
      <w:r/>
      <w:bookmarkStart w:id="4" w:name="_Toc16938516"/>
      <w:r/>
      <w:bookmarkStart w:id="5" w:name="_Toc479757206"/>
      <w:r/>
      <w:r/>
    </w:p>
    <w:p>
      <w:pPr>
        <w:pStyle w:val="708"/>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目</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录</w:t>
      </w:r>
      <w:bookmarkEnd w:id="0"/>
      <w:r/>
      <w:bookmarkEnd w:id="1"/>
      <w:r/>
      <w:bookmarkEnd w:id="2"/>
      <w:r/>
      <w:bookmarkEnd w:id="3"/>
      <w:r/>
      <w:bookmarkEnd w:id="4"/>
      <w:r/>
      <w:bookmarkEnd w:id="5"/>
      <w:r/>
      <w:r/>
    </w:p>
    <w:sdt>
      <w:sdtPr>
        <w15:appearance w15:val="boundingBox"/>
        <w15:color w:val="dbdbdb"/>
        <w:id w:val="147470375"/>
        <w:docPartObj>
          <w:docPartGallery w:val="Table of Contents"/>
          <w:docPartUnique w:val="true"/>
        </w:docPartObj>
        <w:rPr>
          <w:rFonts w:ascii="宋体" w:hAnsi="宋体" w:eastAsia="宋体" w:cstheme="minorBidi"/>
          <w:sz w:val="21"/>
          <w:szCs w:val="24"/>
          <w:lang w:val="en-US" w:eastAsia="zh-CN" w:bidi="ar-SA"/>
        </w:rPr>
      </w:sdtPr>
      <w:sdtContent>
        <w:p>
          <w:pPr>
            <w:ind w:left="0" w:right="0" w:firstLine="0"/>
            <w:jc w:val="center"/>
            <w:spacing w:before="0" w:after="0" w:line="240" w:lineRule="auto"/>
          </w:pPr>
          <w:r/>
          <w:r/>
        </w:p>
        <w:p>
          <w:pPr>
            <w:pStyle w:val="701"/>
            <w:keepLines w:val="0"/>
            <w:keepNext w:val="0"/>
            <w:pageBreakBefore w:val="0"/>
            <w:spacing w:line="900" w:lineRule="exact"/>
            <w:tabs>
              <w:tab w:val="right" w:pos="8306" w:leader="dot"/>
            </w:tabs>
            <w:rPr>
              <w:rFonts w:ascii="黑体" w:hAnsi="宋体" w:eastAsia="黑体" w:cs="黑体"/>
              <w:b/>
              <w:color w:val="000000"/>
              <w:sz w:val="40"/>
              <w:szCs w:val="40"/>
              <w:highlight w:val="none"/>
              <w:lang w:val="en-US" w:eastAsia="zh-CN" w:bidi="ar-SA"/>
            </w:rPr>
          </w:pPr>
          <w:r>
            <w:rPr>
              <w:rFonts w:ascii="黑体" w:hAnsi="宋体" w:eastAsia="黑体" w:cs="黑体"/>
              <w:b/>
              <w:color w:val="000000"/>
              <w:sz w:val="44"/>
              <w:szCs w:val="44"/>
              <w:highlight w:val="none"/>
              <w:lang w:val="en-US" w:eastAsia="zh-CN" w:bidi="ar-SA"/>
            </w:rPr>
            <w:fldChar w:fldCharType="begin"/>
          </w:r>
          <w:r>
            <w:rPr>
              <w:rFonts w:ascii="黑体" w:hAnsi="宋体" w:eastAsia="黑体" w:cs="黑体"/>
              <w:b/>
              <w:color w:val="000000"/>
              <w:sz w:val="44"/>
              <w:szCs w:val="44"/>
              <w:highlight w:val="none"/>
              <w:lang w:val="en-US" w:eastAsia="zh-CN" w:bidi="ar-SA"/>
            </w:rPr>
            <w:instrText xml:space="preserve">TOC \o "1-1" \h \u </w:instrText>
          </w:r>
          <w:r>
            <w:rPr>
              <w:rFonts w:ascii="黑体" w:hAnsi="宋体" w:eastAsia="黑体" w:cs="黑体"/>
              <w:b/>
              <w:color w:val="000000"/>
              <w:sz w:val="44"/>
              <w:szCs w:val="44"/>
              <w:highlight w:val="none"/>
              <w:lang w:val="en-US" w:eastAsia="zh-CN" w:bidi="ar-SA"/>
            </w:rPr>
            <w:fldChar w:fldCharType="separate"/>
          </w:r>
          <w:r>
            <w:rPr>
              <w:rFonts w:ascii="黑体" w:hAnsi="宋体" w:eastAsia="黑体" w:cs="黑体"/>
              <w:b/>
              <w:color w:val="000000"/>
              <w:sz w:val="40"/>
              <w:szCs w:val="40"/>
              <w:highlight w:val="none"/>
              <w:lang w:val="en-US" w:eastAsia="zh-CN" w:bidi="ar-SA"/>
            </w:rPr>
            <w:fldChar w:fldCharType="begin"/>
          </w:r>
          <w:r>
            <w:rPr>
              <w:rFonts w:ascii="黑体" w:hAnsi="宋体" w:eastAsia="黑体" w:cs="黑体"/>
              <w:b/>
              <w:color w:val="000000"/>
              <w:sz w:val="40"/>
              <w:szCs w:val="40"/>
              <w:highlight w:val="none"/>
              <w:lang w:val="en-US" w:eastAsia="zh-CN" w:bidi="ar-SA"/>
            </w:rPr>
            <w:instrText xml:space="preserve"> HYPERLINK \l _Toc4000 </w:instrText>
          </w:r>
          <w:r>
            <w:rPr>
              <w:rFonts w:ascii="黑体" w:hAnsi="宋体" w:eastAsia="黑体" w:cs="黑体"/>
              <w:b/>
              <w:color w:val="000000"/>
              <w:sz w:val="40"/>
              <w:szCs w:val="40"/>
              <w:highlight w:val="none"/>
              <w:lang w:val="en-US" w:eastAsia="zh-CN" w:bidi="ar-SA"/>
            </w:rPr>
            <w:fldChar w:fldCharType="separate"/>
          </w:r>
          <w:r>
            <w:rPr>
              <w:rFonts w:hint="eastAsia" w:ascii="黑体" w:hAnsi="宋体" w:eastAsia="黑体" w:cs="黑体"/>
              <w:b/>
              <w:color w:val="000000"/>
              <w:sz w:val="40"/>
              <w:szCs w:val="40"/>
              <w:highlight w:val="none"/>
              <w:lang w:val="en-US" w:eastAsia="zh-CN" w:bidi="ar-SA"/>
            </w:rPr>
            <w:t xml:space="preserve">第一章  招标公告</w:t>
          </w:r>
          <w:r>
            <w:rPr>
              <w:rFonts w:ascii="黑体" w:hAnsi="宋体" w:eastAsia="黑体" w:cs="黑体"/>
              <w:b/>
              <w:color w:val="000000"/>
              <w:sz w:val="40"/>
              <w:szCs w:val="40"/>
              <w:highlight w:val="none"/>
              <w:lang w:val="en-US" w:eastAsia="zh-CN" w:bidi="ar-SA"/>
            </w:rPr>
            <w:fldChar w:fldCharType="end"/>
          </w:r>
          <w:r/>
        </w:p>
        <w:p>
          <w:pPr>
            <w:pStyle w:val="701"/>
            <w:keepLines w:val="0"/>
            <w:keepNext w:val="0"/>
            <w:pageBreakBefore w:val="0"/>
            <w:spacing w:line="900" w:lineRule="exact"/>
            <w:tabs>
              <w:tab w:val="right" w:pos="8306" w:leader="dot"/>
            </w:tabs>
            <w:rPr>
              <w:rFonts w:ascii="黑体" w:hAnsi="宋体" w:eastAsia="黑体" w:cs="黑体"/>
              <w:b/>
              <w:color w:val="000000"/>
              <w:sz w:val="40"/>
              <w:szCs w:val="40"/>
              <w:highlight w:val="none"/>
              <w:lang w:val="en-US" w:eastAsia="zh-CN" w:bidi="ar-SA"/>
            </w:rPr>
          </w:pPr>
          <w:r>
            <w:rPr>
              <w:rFonts w:ascii="黑体" w:hAnsi="宋体" w:eastAsia="黑体" w:cs="黑体"/>
              <w:b/>
              <w:color w:val="000000"/>
              <w:sz w:val="40"/>
              <w:szCs w:val="40"/>
              <w:highlight w:val="none"/>
              <w:lang w:val="en-US" w:eastAsia="zh-CN" w:bidi="ar-SA"/>
            </w:rPr>
            <w:fldChar w:fldCharType="begin"/>
          </w:r>
          <w:r>
            <w:rPr>
              <w:rFonts w:ascii="黑体" w:hAnsi="宋体" w:eastAsia="黑体" w:cs="黑体"/>
              <w:b/>
              <w:color w:val="000000"/>
              <w:sz w:val="40"/>
              <w:szCs w:val="40"/>
              <w:highlight w:val="none"/>
              <w:lang w:val="en-US" w:eastAsia="zh-CN" w:bidi="ar-SA"/>
            </w:rPr>
            <w:instrText xml:space="preserve"> HYPERLINK \l _Toc7070 </w:instrText>
          </w:r>
          <w:r>
            <w:rPr>
              <w:rFonts w:ascii="黑体" w:hAnsi="宋体" w:eastAsia="黑体" w:cs="黑体"/>
              <w:b/>
              <w:color w:val="000000"/>
              <w:sz w:val="40"/>
              <w:szCs w:val="40"/>
              <w:highlight w:val="none"/>
              <w:lang w:val="en-US" w:eastAsia="zh-CN" w:bidi="ar-SA"/>
            </w:rPr>
            <w:fldChar w:fldCharType="separate"/>
          </w:r>
          <w:r>
            <w:rPr>
              <w:rFonts w:hint="eastAsia" w:ascii="黑体" w:hAnsi="宋体" w:eastAsia="黑体" w:cs="黑体"/>
              <w:b/>
              <w:color w:val="000000"/>
              <w:sz w:val="40"/>
              <w:szCs w:val="40"/>
              <w:highlight w:val="none"/>
              <w:lang w:val="en-US" w:eastAsia="zh-CN" w:bidi="ar-SA"/>
            </w:rPr>
            <w:t xml:space="preserve">第二章  投标人须知</w:t>
          </w:r>
          <w:r>
            <w:rPr>
              <w:rFonts w:ascii="黑体" w:hAnsi="宋体" w:eastAsia="黑体" w:cs="黑体"/>
              <w:b/>
              <w:color w:val="000000"/>
              <w:sz w:val="40"/>
              <w:szCs w:val="40"/>
              <w:highlight w:val="none"/>
              <w:lang w:val="en-US" w:eastAsia="zh-CN" w:bidi="ar-SA"/>
            </w:rPr>
            <w:fldChar w:fldCharType="end"/>
          </w:r>
          <w:r/>
        </w:p>
        <w:p>
          <w:pPr>
            <w:pStyle w:val="701"/>
            <w:keepLines w:val="0"/>
            <w:keepNext w:val="0"/>
            <w:pageBreakBefore w:val="0"/>
            <w:spacing w:line="900" w:lineRule="exact"/>
            <w:tabs>
              <w:tab w:val="right" w:pos="8306" w:leader="dot"/>
            </w:tabs>
            <w:rPr>
              <w:rFonts w:ascii="黑体" w:hAnsi="宋体" w:eastAsia="黑体" w:cs="黑体"/>
              <w:b/>
              <w:color w:val="000000"/>
              <w:sz w:val="40"/>
              <w:szCs w:val="40"/>
              <w:highlight w:val="none"/>
              <w:lang w:val="en-US" w:eastAsia="zh-CN" w:bidi="ar-SA"/>
            </w:rPr>
          </w:pPr>
          <w:r>
            <w:rPr>
              <w:rFonts w:ascii="黑体" w:hAnsi="宋体" w:eastAsia="黑体" w:cs="黑体"/>
              <w:b/>
              <w:color w:val="000000"/>
              <w:sz w:val="40"/>
              <w:szCs w:val="40"/>
              <w:highlight w:val="none"/>
              <w:lang w:val="en-US" w:eastAsia="zh-CN" w:bidi="ar-SA"/>
            </w:rPr>
            <w:fldChar w:fldCharType="begin"/>
          </w:r>
          <w:r>
            <w:rPr>
              <w:rFonts w:ascii="黑体" w:hAnsi="宋体" w:eastAsia="黑体" w:cs="黑体"/>
              <w:b/>
              <w:color w:val="000000"/>
              <w:sz w:val="40"/>
              <w:szCs w:val="40"/>
              <w:highlight w:val="none"/>
              <w:lang w:val="en-US" w:eastAsia="zh-CN" w:bidi="ar-SA"/>
            </w:rPr>
            <w:instrText xml:space="preserve"> HYPERLINK \l _Toc8293 </w:instrText>
          </w:r>
          <w:r>
            <w:rPr>
              <w:rFonts w:ascii="黑体" w:hAnsi="宋体" w:eastAsia="黑体" w:cs="黑体"/>
              <w:b/>
              <w:color w:val="000000"/>
              <w:sz w:val="40"/>
              <w:szCs w:val="40"/>
              <w:highlight w:val="none"/>
              <w:lang w:val="en-US" w:eastAsia="zh-CN" w:bidi="ar-SA"/>
            </w:rPr>
            <w:fldChar w:fldCharType="separate"/>
          </w:r>
          <w:r>
            <w:rPr>
              <w:rFonts w:hint="eastAsia" w:ascii="黑体" w:hAnsi="宋体" w:eastAsia="黑体" w:cs="黑体"/>
              <w:b/>
              <w:color w:val="000000"/>
              <w:sz w:val="40"/>
              <w:szCs w:val="40"/>
              <w:highlight w:val="none"/>
              <w:lang w:val="en-US" w:eastAsia="zh-CN" w:bidi="ar-SA"/>
            </w:rPr>
            <w:t xml:space="preserve">第三章  合同文本</w:t>
          </w:r>
          <w:r>
            <w:rPr>
              <w:rFonts w:ascii="黑体" w:hAnsi="宋体" w:eastAsia="黑体" w:cs="黑体"/>
              <w:b/>
              <w:color w:val="000000"/>
              <w:sz w:val="40"/>
              <w:szCs w:val="40"/>
              <w:highlight w:val="none"/>
              <w:lang w:val="en-US" w:eastAsia="zh-CN" w:bidi="ar-SA"/>
            </w:rPr>
            <w:fldChar w:fldCharType="end"/>
          </w:r>
          <w:r/>
        </w:p>
        <w:p>
          <w:pPr>
            <w:pStyle w:val="701"/>
            <w:keepLines w:val="0"/>
            <w:keepNext w:val="0"/>
            <w:pageBreakBefore w:val="0"/>
            <w:spacing w:line="900" w:lineRule="exact"/>
            <w:tabs>
              <w:tab w:val="right" w:pos="8306" w:leader="dot"/>
            </w:tabs>
            <w:rPr>
              <w:rFonts w:hint="default" w:ascii="黑体" w:hAnsi="宋体" w:eastAsia="黑体" w:cs="黑体"/>
              <w:b/>
              <w:color w:val="000000"/>
              <w:sz w:val="40"/>
              <w:szCs w:val="40"/>
              <w:highlight w:val="none"/>
              <w:lang w:val="en-US" w:eastAsia="zh-CN" w:bidi="ar-SA"/>
            </w:rPr>
          </w:pPr>
          <w:r>
            <w:rPr>
              <w:rFonts w:hint="eastAsia" w:ascii="黑体" w:hAnsi="宋体" w:eastAsia="黑体" w:cs="黑体"/>
              <w:b/>
              <w:color w:val="000000"/>
              <w:sz w:val="40"/>
              <w:szCs w:val="40"/>
              <w:highlight w:val="none"/>
              <w:lang w:val="en-US" w:eastAsia="zh-CN" w:bidi="ar-SA"/>
            </w:rPr>
            <w:t xml:space="preserve">第四章  采购需求</w:t>
          </w:r>
          <w:r/>
        </w:p>
        <w:p>
          <w:pPr>
            <w:pStyle w:val="701"/>
            <w:keepLines w:val="0"/>
            <w:keepNext w:val="0"/>
            <w:pageBreakBefore w:val="0"/>
            <w:spacing w:line="900" w:lineRule="exact"/>
            <w:tabs>
              <w:tab w:val="right" w:pos="8306" w:leader="dot"/>
            </w:tabs>
            <w:rPr>
              <w:rFonts w:ascii="黑体" w:hAnsi="宋体" w:eastAsia="黑体" w:cs="黑体"/>
              <w:b/>
              <w:color w:val="000000"/>
              <w:sz w:val="40"/>
              <w:szCs w:val="40"/>
              <w:highlight w:val="none"/>
              <w:lang w:val="en-US" w:eastAsia="zh-CN" w:bidi="ar-SA"/>
            </w:rPr>
          </w:pPr>
          <w:r>
            <w:rPr>
              <w:rFonts w:ascii="黑体" w:hAnsi="宋体" w:eastAsia="黑体" w:cs="黑体"/>
              <w:b/>
              <w:color w:val="000000"/>
              <w:sz w:val="40"/>
              <w:szCs w:val="40"/>
              <w:highlight w:val="none"/>
              <w:lang w:val="en-US" w:eastAsia="zh-CN" w:bidi="ar-SA"/>
            </w:rPr>
            <w:fldChar w:fldCharType="begin"/>
          </w:r>
          <w:r>
            <w:rPr>
              <w:rFonts w:ascii="黑体" w:hAnsi="宋体" w:eastAsia="黑体" w:cs="黑体"/>
              <w:b/>
              <w:color w:val="000000"/>
              <w:sz w:val="40"/>
              <w:szCs w:val="40"/>
              <w:highlight w:val="none"/>
              <w:lang w:val="en-US" w:eastAsia="zh-CN" w:bidi="ar-SA"/>
            </w:rPr>
            <w:instrText xml:space="preserve"> HYPERLINK \l _Toc29503 </w:instrText>
          </w:r>
          <w:r>
            <w:rPr>
              <w:rFonts w:ascii="黑体" w:hAnsi="宋体" w:eastAsia="黑体" w:cs="黑体"/>
              <w:b/>
              <w:color w:val="000000"/>
              <w:sz w:val="40"/>
              <w:szCs w:val="40"/>
              <w:highlight w:val="none"/>
              <w:lang w:val="en-US" w:eastAsia="zh-CN" w:bidi="ar-SA"/>
            </w:rPr>
            <w:fldChar w:fldCharType="separate"/>
          </w:r>
          <w:r>
            <w:rPr>
              <w:rFonts w:hint="eastAsia" w:ascii="黑体" w:hAnsi="宋体" w:eastAsia="黑体" w:cs="黑体"/>
              <w:b/>
              <w:color w:val="000000"/>
              <w:sz w:val="40"/>
              <w:szCs w:val="40"/>
              <w:highlight w:val="none"/>
              <w:lang w:val="en-US" w:eastAsia="zh-CN" w:bidi="ar-SA"/>
            </w:rPr>
            <w:t xml:space="preserve">第五章  评标方法与评标标准</w:t>
          </w:r>
          <w:r>
            <w:rPr>
              <w:rFonts w:ascii="黑体" w:hAnsi="宋体" w:eastAsia="黑体" w:cs="黑体"/>
              <w:b/>
              <w:color w:val="000000"/>
              <w:sz w:val="40"/>
              <w:szCs w:val="40"/>
              <w:highlight w:val="none"/>
              <w:lang w:val="en-US" w:eastAsia="zh-CN" w:bidi="ar-SA"/>
            </w:rPr>
            <w:fldChar w:fldCharType="end"/>
          </w:r>
          <w:r/>
        </w:p>
        <w:p>
          <w:pPr>
            <w:pStyle w:val="701"/>
            <w:keepLines w:val="0"/>
            <w:keepNext w:val="0"/>
            <w:pageBreakBefore w:val="0"/>
            <w:spacing w:line="900" w:lineRule="exact"/>
            <w:tabs>
              <w:tab w:val="right" w:pos="8306" w:leader="dot"/>
            </w:tabs>
            <w:rPr>
              <w:rFonts w:ascii="黑体" w:hAnsi="宋体" w:eastAsia="黑体" w:cs="黑体"/>
              <w:b/>
              <w:color w:val="000000"/>
              <w:sz w:val="44"/>
              <w:szCs w:val="44"/>
              <w:highlight w:val="none"/>
              <w:lang w:val="en-US" w:eastAsia="zh-CN" w:bidi="ar-SA"/>
            </w:rPr>
          </w:pPr>
          <w:r>
            <w:rPr>
              <w:rFonts w:ascii="黑体" w:hAnsi="宋体" w:eastAsia="黑体" w:cs="黑体"/>
              <w:b/>
              <w:color w:val="000000"/>
              <w:sz w:val="40"/>
              <w:szCs w:val="40"/>
              <w:highlight w:val="none"/>
              <w:lang w:val="en-US" w:eastAsia="zh-CN" w:bidi="ar-SA"/>
            </w:rPr>
            <w:fldChar w:fldCharType="begin"/>
          </w:r>
          <w:r>
            <w:rPr>
              <w:rFonts w:ascii="黑体" w:hAnsi="宋体" w:eastAsia="黑体" w:cs="黑体"/>
              <w:b/>
              <w:color w:val="000000"/>
              <w:sz w:val="40"/>
              <w:szCs w:val="40"/>
              <w:highlight w:val="none"/>
              <w:lang w:val="en-US" w:eastAsia="zh-CN" w:bidi="ar-SA"/>
            </w:rPr>
            <w:instrText xml:space="preserve"> HYPERLINK \l _Toc1234 </w:instrText>
          </w:r>
          <w:r>
            <w:rPr>
              <w:rFonts w:ascii="黑体" w:hAnsi="宋体" w:eastAsia="黑体" w:cs="黑体"/>
              <w:b/>
              <w:color w:val="000000"/>
              <w:sz w:val="40"/>
              <w:szCs w:val="40"/>
              <w:highlight w:val="none"/>
              <w:lang w:val="en-US" w:eastAsia="zh-CN" w:bidi="ar-SA"/>
            </w:rPr>
            <w:fldChar w:fldCharType="separate"/>
          </w:r>
          <w:r>
            <w:rPr>
              <w:rFonts w:hint="eastAsia" w:ascii="黑体" w:hAnsi="宋体" w:eastAsia="黑体" w:cs="黑体"/>
              <w:b/>
              <w:color w:val="000000"/>
              <w:sz w:val="40"/>
              <w:szCs w:val="40"/>
              <w:highlight w:val="none"/>
              <w:lang w:val="en-US" w:eastAsia="zh-CN" w:bidi="ar-SA"/>
            </w:rPr>
            <w:t xml:space="preserve">第六章  投标文件格式</w:t>
          </w:r>
          <w:r>
            <w:rPr>
              <w:rFonts w:ascii="黑体" w:hAnsi="宋体" w:eastAsia="黑体" w:cs="黑体"/>
              <w:b/>
              <w:color w:val="000000"/>
              <w:sz w:val="40"/>
              <w:szCs w:val="40"/>
              <w:highlight w:val="none"/>
              <w:lang w:val="en-US" w:eastAsia="zh-CN" w:bidi="ar-SA"/>
            </w:rPr>
            <w:fldChar w:fldCharType="end"/>
          </w:r>
          <w:r/>
        </w:p>
        <w:p>
          <w:pPr>
            <w:keepLines w:val="0"/>
            <w:keepNext w:val="0"/>
            <w:pageBreakBefore w:val="0"/>
            <w:spacing w:line="900" w:lineRule="exact"/>
            <w:rPr>
              <w:rFonts w:ascii="黑体" w:hAnsi="宋体" w:eastAsia="黑体" w:cs="黑体"/>
              <w:b/>
              <w:color w:val="000000"/>
              <w:sz w:val="44"/>
              <w:szCs w:val="44"/>
              <w:highlight w:val="none"/>
              <w:lang w:val="en-US" w:eastAsia="zh-CN" w:bidi="ar-SA"/>
            </w:rPr>
          </w:pPr>
          <w:r>
            <w:rPr>
              <w:rFonts w:ascii="黑体" w:hAnsi="宋体" w:eastAsia="黑体" w:cs="黑体"/>
              <w:b/>
              <w:color w:val="000000"/>
              <w:sz w:val="44"/>
              <w:szCs w:val="44"/>
              <w:highlight w:val="none"/>
              <w:lang w:val="en-US" w:eastAsia="zh-CN" w:bidi="ar-SA"/>
            </w:rPr>
            <w:fldChar w:fldCharType="end"/>
          </w:r>
          <w:r/>
        </w:p>
      </w:sdtContent>
    </w:sdt>
    <w:p>
      <w:pPr>
        <w:rPr>
          <w:rFonts w:hint="eastAsia"/>
        </w:rPr>
      </w:pPr>
      <w:r>
        <w:rPr>
          <w:rFonts w:hint="eastAsia"/>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675"/>
        <w:ind w:left="0" w:right="0" w:firstLine="0"/>
        <w:jc w:val="center"/>
        <w:spacing w:before="100" w:after="9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  招标公告</w:t>
      </w:r>
      <w:r/>
    </w:p>
    <w:p>
      <w:pPr>
        <w:ind w:left="0" w:right="0" w:firstLine="482"/>
        <w:jc w:val="both"/>
        <w:spacing w:before="240" w:after="24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2"/>
        <w:jc w:val="both"/>
        <w:spacing w:before="240" w:after="24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东台市农村乱占耕地建房住宅类房屋专项整治项目JSZC-320981-BJZC-G2025-0034 招标项目的潜在投标人应在“苏采云”系统内免费下载（投标人必须在苏采云系统中获取采购文件，方能参与政府采购项目）。 获取招标文件，并于</w:t>
      </w:r>
      <w:r>
        <w:rPr>
          <w:rFonts w:ascii="宋体" w:hAnsi="宋体" w:eastAsia="宋体" w:cs="宋体"/>
          <w:color w:val="000000"/>
          <w:sz w:val="24"/>
          <w:highlight w:val="yellow"/>
        </w:rPr>
        <w:t xml:space="preserve">2025-12-0</w:t>
      </w:r>
      <w:r>
        <w:rPr>
          <w:rFonts w:hint="eastAsia" w:ascii="宋体" w:hAnsi="宋体" w:eastAsia="宋体" w:cs="宋体"/>
          <w:color w:val="000000"/>
          <w:sz w:val="24"/>
          <w:highlight w:val="yellow"/>
          <w:lang w:val="en-US" w:eastAsia="zh-CN"/>
        </w:rPr>
        <w:t xml:space="preserve">4</w:t>
      </w:r>
      <w:r>
        <w:rPr>
          <w:rFonts w:ascii="宋体" w:hAnsi="宋体" w:eastAsia="宋体" w:cs="宋体"/>
          <w:color w:val="000000"/>
          <w:sz w:val="24"/>
          <w:highlight w:val="yellow"/>
        </w:rPr>
        <w:t xml:space="preserve"> 09:00 </w:t>
      </w:r>
      <w:r>
        <w:rPr>
          <w:rFonts w:ascii="宋体" w:hAnsi="宋体" w:eastAsia="宋体" w:cs="宋体"/>
          <w:color w:val="000000"/>
          <w:sz w:val="24"/>
        </w:rPr>
        <w:t xml:space="preserve">（北京时间）前递交投标文件。</w:t>
      </w:r>
      <w:r/>
    </w:p>
    <w:p>
      <w:pPr>
        <w:ind w:left="0" w:right="0" w:firstLine="0"/>
        <w:jc w:val="both"/>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一、项目基本情况</w:t>
      </w:r>
      <w:r/>
    </w:p>
    <w:p>
      <w:pPr>
        <w:ind w:left="0" w:right="0" w:firstLine="0"/>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项目编号：JSZC-320981-BJZC-G2025-0034 </w:t>
      </w:r>
      <w:r/>
    </w:p>
    <w:p>
      <w:pPr>
        <w:ind w:left="0" w:right="0" w:firstLine="0"/>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项目名称：东台市农村乱占耕地建房住宅类房屋专项整治项目 </w:t>
      </w:r>
      <w:r/>
    </w:p>
    <w:p>
      <w:pPr>
        <w:ind w:left="0" w:right="0" w:firstLine="0"/>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预算金额：500.000000万元（采购包1：125.000000万元；采购包2：125.000000万元；采购包3：125.000000万元；采购包4：125.000000万元） </w:t>
      </w:r>
      <w:r/>
    </w:p>
    <w:p>
      <w:pPr>
        <w:ind w:left="0" w:right="0" w:firstLine="0"/>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最高限价（如有）：整治类500元/宗；非整治类300元/宗。  </w:t>
      </w:r>
      <w:r/>
    </w:p>
    <w:p>
      <w:pPr>
        <w:ind w:left="0" w:right="0" w:firstLine="0"/>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需求：按照部、省农村乱占耕地建房住宅类专项整治试点工作实施方案，通过组织开展农村乱占耕地建房住宅类房屋问题专项整治试点工作，完成国家下发的问题图斑全部销号工作，稳妥有序化解东台市农村乱占耕地建房住宅类房屋专项整治工作历史遗留问题，实现东台市农村乱占耕地建房住宅类房屋问题基本“清零”。（详细内容见本招标文件第四章）</w:t>
      </w:r>
      <w:r/>
    </w:p>
    <w:p>
      <w:pPr>
        <w:ind w:left="0" w:right="0" w:firstLine="0"/>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合同履行期限：2年，本项目要求于2027年12月31日前完成全部工作任务。 </w:t>
      </w:r>
      <w:r/>
    </w:p>
    <w:p>
      <w:pPr>
        <w:ind w:left="0" w:right="0" w:firstLine="0"/>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本项目（是/否）接受联合体投标：否</w:t>
      </w:r>
      <w:r/>
    </w:p>
    <w:p>
      <w:pPr>
        <w:ind w:left="0" w:right="0" w:firstLine="0"/>
        <w:jc w:val="both"/>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二、申请人的资格要求：</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（一）满足《中华人民共和国政府采购法》第二十二条规定：</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1.法人或者其他组织的营业执照等证明文件，自然人的身份证明。</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2.上一年度的财务状况报告（成立不满一年不需提供）。</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3.具备履行合同所必需的设备和专业技术能力的书面声明。</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5.参加政府采购活动前3年内在经营活动中没有重大违法记录的书面声明。</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6.法律、行政法规规定的其他条件。</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8.单位负责人为同一人或者存在直接控股、管理关系的不同供应商，不得参加同一合同项下的政府采购活动。（格式自拟）</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（二）落实政府采购政策需满足的资格要求：</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采购包1 采购包2 采购包3 采购包4:无</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（三）本项目的特定资格要求： </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采购包1 采购包2 采购包3 采购包4</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1.供应商须具有测绘地理信息主管部门颁发的乙级及以上测绘资质证书。</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2.投标人法定代表人身份证明和投标文件签署授权委托书（另附法定代表人和被授权人的身份证复印件或扫描件）</w:t>
      </w:r>
      <w:r/>
    </w:p>
    <w:p>
      <w:pPr>
        <w:ind w:left="0" w:right="0" w:firstLine="0"/>
        <w:jc w:val="both"/>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三、获取招标文件</w:t>
      </w:r>
      <w:r/>
    </w:p>
    <w:p>
      <w:pPr>
        <w:ind w:left="0" w:right="0" w:firstLine="0"/>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时间：自招标文件公告发布之日起5个工作日 </w:t>
      </w:r>
      <w:r/>
    </w:p>
    <w:p>
      <w:pPr>
        <w:ind w:left="0" w:right="0" w:firstLine="0"/>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地点：“苏采云”系统内免费下载（投标人必须在苏采云系统中获取采购文件，方能参与政府采购项目）。 </w:t>
      </w:r>
      <w:r/>
    </w:p>
    <w:p>
      <w:pPr>
        <w:ind w:left="0" w:right="0" w:firstLine="0"/>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方式：本项目采用网上注册登记方式。 </w:t>
      </w:r>
      <w:r/>
    </w:p>
    <w:p>
      <w:pPr>
        <w:ind w:left="0" w:right="0" w:firstLine="0"/>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售价：0.00元 </w:t>
      </w:r>
      <w:r/>
    </w:p>
    <w:p>
      <w:pPr>
        <w:ind w:left="0" w:right="0" w:firstLine="0"/>
        <w:jc w:val="both"/>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四、提交投标文件截止时间、开标时间和地点</w:t>
      </w:r>
      <w:r/>
    </w:p>
    <w:p>
      <w:pPr>
        <w:ind w:left="0" w:right="0" w:firstLine="0"/>
        <w:spacing w:before="240" w:after="240" w:line="460" w:lineRule="atLeast"/>
        <w:shd w:val="clear" w:color="ffffff" w:fill="ffffff"/>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2025-12-0</w:t>
      </w:r>
      <w:r>
        <w:rPr>
          <w:rFonts w:hint="eastAsia" w:ascii="宋体" w:hAnsi="宋体" w:eastAsia="宋体" w:cs="宋体"/>
          <w:color w:val="000000"/>
          <w:sz w:val="24"/>
          <w:highlight w:val="yellow"/>
          <w:lang w:val="en-US" w:eastAsia="zh-CN"/>
        </w:rPr>
        <w:t xml:space="preserve">4</w:t>
      </w:r>
      <w:r>
        <w:rPr>
          <w:rFonts w:ascii="宋体" w:hAnsi="宋体" w:eastAsia="宋体" w:cs="宋体"/>
          <w:color w:val="000000"/>
          <w:sz w:val="24"/>
          <w:highlight w:val="yellow"/>
        </w:rPr>
        <w:t xml:space="preserve"> 09:00 （北京时间）</w:t>
      </w:r>
      <w:r/>
    </w:p>
    <w:p>
      <w:pPr>
        <w:ind w:left="0" w:right="0" w:firstLine="0"/>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地点：苏采云“不见面”开标大厅 </w:t>
      </w:r>
      <w:r/>
    </w:p>
    <w:p>
      <w:pPr>
        <w:ind w:left="0" w:right="0" w:firstLine="0"/>
        <w:jc w:val="both"/>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五、公告期限</w:t>
      </w:r>
      <w:r/>
    </w:p>
    <w:p>
      <w:pPr>
        <w:ind w:left="0" w:right="0" w:firstLine="0"/>
        <w:jc w:val="both"/>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自本公告发布之日起5个工作日。</w:t>
      </w:r>
      <w:r/>
    </w:p>
    <w:p>
      <w:pPr>
        <w:ind w:left="0" w:right="0" w:firstLine="0"/>
        <w:jc w:val="both"/>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六、其他补充事宜</w:t>
      </w:r>
      <w:r/>
    </w:p>
    <w:p>
      <w:pPr>
        <w:ind w:left="0" w:right="0" w:firstLine="0"/>
        <w:jc w:val="both"/>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0"/>
        <w:jc w:val="both"/>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 潜在供应商访问电子招标响应交易平台的网络地址和方法：</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zip）--通过“苏采云”系统上传投标文件。具体见《“苏采云”系统供应商操作手册》 （手册下载地址：苏采云系统-右侧消息通知栏）。</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2.2 潜在投标人访问“苏采云”系统方法：江苏省政府采购网首页-“苏采云”链接。</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2.3 采购文件（后缀名为“.kedt”）、供应商操作手册及政府采购客户端 工具可通过“苏采云”系统相应链接进行下载。</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2.4 采购代理机构将数据电文形式的采购文件加载至“苏采云”系统，供潜在供应商下载或者查阅。</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 请潜在投标单位提前安装相应的控件（详见《“苏采云”系统供应商操作手册》）并使用谷歌浏览器登录“苏采云”系统参与不见面开评标。</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如潜在投标人未按上述要求操作，将自行承担所产生的风险。</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3.有关本次招标的事项若存在变动或修改，敬请及时关注采购人在“中国政府采购网”“江苏政府采购网”“盐城市政府采购网”发布的更正公告。</w:t>
      </w:r>
      <w:r/>
    </w:p>
    <w:p>
      <w:pPr>
        <w:ind w:left="0" w:right="0" w:firstLine="0"/>
        <w:jc w:val="both"/>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4.本次招标不收取投标保证金，不收取质量保证金。</w:t>
      </w:r>
      <w:r/>
    </w:p>
    <w:p>
      <w:pPr>
        <w:ind w:left="0" w:right="0" w:firstLine="0"/>
        <w:spacing w:before="240" w:after="24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符合本项目资格条件的投标单位均可参加本项目四个采购包的投标，但一个投标单位只能中一个采购包，本项目的评标、定标顺序按采购包一、采购包二、采购包三、采购包四顺序进行，如投标人在前面采购包中被确定为中标人时，其响应文件不参与后序采购包的评审。</w:t>
      </w:r>
      <w:r/>
    </w:p>
    <w:p>
      <w:pPr>
        <w:pStyle w:val="676"/>
        <w:ind w:left="0" w:right="0" w:firstLine="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七、对本次招标提出询问，请按以下方式联系。</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采购包1、采购包2、采购包3、采购包4</w:t>
      </w:r>
      <w:r/>
    </w:p>
    <w:p>
      <w:pPr>
        <w:ind w:left="0" w:right="0" w:firstLine="0"/>
        <w:spacing w:before="240" w:after="240" w:line="460" w:lineRule="atLeast"/>
        <w:rPr>
          <w:rFonts w:hint="default"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1、采购人</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单位名称：东台市农业农村局（机关）</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单位地址：东台市广场路6号</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联系人：杨先生</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联系电话：13851033699</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2.采购代理机构信息（如有）</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单位名称：北京中昌工程咨询有限公司</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单位地址：东台市金海广场702室</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联系人：练女士</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联系电话：18105110880</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3.项目联系方式</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项目联系人：练女士</w:t>
      </w:r>
      <w:r/>
    </w:p>
    <w:p>
      <w:pPr>
        <w:ind w:left="0" w:right="0" w:firstLine="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电话：18105110880</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675"/>
        <w:jc w:val="center"/>
      </w:pPr>
      <w:r/>
      <w:bookmarkStart w:id="6" w:name="_Toc120614211"/>
      <w:r/>
      <w:bookmarkStart w:id="7" w:name="_Toc7070"/>
      <w:r>
        <w:rPr>
          <w:rFonts w:hint="eastAsia"/>
        </w:rPr>
        <w:t xml:space="preserve">第二章</w:t>
      </w:r>
      <w:bookmarkEnd w:id="6"/>
      <w:r/>
      <w:bookmarkStart w:id="8" w:name="_Toc16938518"/>
      <w:r/>
      <w:bookmarkStart w:id="9" w:name="_Toc20823274"/>
      <w:r/>
      <w:bookmarkStart w:id="10" w:name="_Toc120614213"/>
      <w:r/>
      <w:bookmarkStart w:id="11" w:name="_Toc513029202"/>
      <w:r>
        <w:rPr>
          <w:rFonts w:hint="eastAsia"/>
          <w:lang w:val="en-US" w:eastAsia="zh-CN"/>
        </w:rPr>
        <w:t xml:space="preserve">  </w:t>
      </w:r>
      <w:r>
        <w:rPr>
          <w:rFonts w:hint="eastAsia"/>
        </w:rPr>
        <w:t xml:space="preserve">投标人须知</w:t>
      </w:r>
      <w:bookmarkEnd w:id="7"/>
      <w:r/>
      <w:bookmarkEnd w:id="8"/>
      <w:r/>
      <w:bookmarkEnd w:id="9"/>
      <w:r/>
      <w:bookmarkEnd w:id="10"/>
      <w:r/>
      <w:bookmarkEnd w:id="11"/>
      <w:r/>
      <w:r/>
    </w:p>
    <w:p>
      <w:pPr>
        <w:pStyle w:val="708"/>
        <w:ind w:firstLine="498"/>
        <w:jc w:val="both"/>
        <w:keepLines/>
        <w:keepNext/>
        <w:pageBreakBefore w:val="0"/>
        <w:spacing w:before="145" w:beforeAutospacing="0" w:after="145" w:afterAutospacing="0" w:line="360" w:lineRule="exact"/>
        <w:widowControl w:val="off"/>
        <w:rPr>
          <w:rFonts w:hint="eastAsia" w:ascii="宋体" w:hAnsi="宋体" w:eastAsia="宋体" w:cs="宋体"/>
          <w:sz w:val="24"/>
          <w:szCs w:val="24"/>
          <w:highlight w:val="none"/>
        </w:rPr>
      </w:pPr>
      <w:r/>
      <w:bookmarkStart w:id="12" w:name="_Toc20823275"/>
      <w:r/>
      <w:bookmarkStart w:id="13" w:name="_Toc513029203"/>
      <w:r/>
      <w:bookmarkStart w:id="14" w:name="_Toc16938519"/>
      <w:r/>
      <w:bookmarkStart w:id="15" w:name="_Toc120614214"/>
      <w:r>
        <w:rPr>
          <w:rFonts w:hint="eastAsia" w:ascii="宋体" w:hAnsi="宋体" w:eastAsia="宋体" w:cs="宋体"/>
          <w:b/>
          <w:color w:val="000000"/>
          <w:sz w:val="24"/>
          <w:szCs w:val="24"/>
          <w:highlight w:val="none"/>
        </w:rPr>
        <w:t xml:space="preserve">一、总则</w:t>
      </w:r>
      <w:bookmarkEnd w:id="12"/>
      <w:r/>
      <w:bookmarkEnd w:id="13"/>
      <w:r/>
      <w:bookmarkEnd w:id="14"/>
      <w:r/>
      <w:bookmarkEnd w:id="15"/>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6" w:name="_Toc16938520"/>
      <w:r/>
      <w:bookmarkStart w:id="17" w:name="_Toc20823276"/>
      <w:r/>
      <w:bookmarkStart w:id="18" w:name="_Toc458694821"/>
      <w:r/>
      <w:bookmarkStart w:id="19" w:name="_Toc513029204"/>
      <w:r/>
      <w:bookmarkStart w:id="20" w:name="_Hlt16619475"/>
      <w:r>
        <w:rPr>
          <w:rFonts w:hint="eastAsia" w:ascii="宋体" w:hAnsi="宋体" w:eastAsia="宋体" w:cs="宋体"/>
          <w:color w:val="000000"/>
          <w:sz w:val="24"/>
          <w:szCs w:val="24"/>
          <w:highlight w:val="none"/>
        </w:rPr>
        <w:t xml:space="preserve">1</w:t>
      </w:r>
      <w:bookmarkEnd w:id="16"/>
      <w:r>
        <w:rPr>
          <w:rFonts w:hint="eastAsia" w:ascii="宋体" w:hAnsi="宋体" w:eastAsia="宋体" w:cs="宋体"/>
          <w:color w:val="000000"/>
          <w:sz w:val="24"/>
          <w:szCs w:val="24"/>
          <w:highlight w:val="none"/>
        </w:rPr>
        <w:t xml:space="preserve">、招标方式</w:t>
      </w:r>
      <w:bookmarkEnd w:id="17"/>
      <w:r/>
      <w:bookmarkEnd w:id="18"/>
      <w:r/>
      <w:bookmarkEnd w:id="19"/>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21" w:name="_Toc16938521"/>
      <w:r/>
      <w:bookmarkStart w:id="22" w:name="_Toc20823277"/>
      <w:r/>
      <w:bookmarkStart w:id="23" w:name="_Toc513029205"/>
      <w:r>
        <w:rPr>
          <w:rFonts w:hint="eastAsia" w:ascii="宋体" w:hAnsi="宋体" w:eastAsia="宋体" w:cs="宋体"/>
          <w:color w:val="000000"/>
          <w:sz w:val="24"/>
          <w:szCs w:val="24"/>
          <w:highlight w:val="none"/>
        </w:rPr>
        <w:t xml:space="preserve">2、合格的投标人</w:t>
      </w:r>
      <w:bookmarkEnd w:id="21"/>
      <w:r/>
      <w:bookmarkEnd w:id="22"/>
      <w:r/>
      <w:bookmarkEnd w:id="23"/>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24" w:name="_Toc513029206"/>
      <w:r/>
      <w:bookmarkStart w:id="25" w:name="_Toc20823278"/>
      <w:r/>
      <w:bookmarkStart w:id="26" w:name="_Toc16938522"/>
      <w:r>
        <w:rPr>
          <w:rFonts w:hint="eastAsia" w:ascii="宋体" w:hAnsi="宋体" w:eastAsia="宋体" w:cs="宋体"/>
          <w:color w:val="000000"/>
          <w:sz w:val="24"/>
          <w:szCs w:val="24"/>
          <w:highlight w:val="none"/>
        </w:rPr>
        <w:t xml:space="preserve">3、适用法律</w:t>
      </w:r>
      <w:bookmarkEnd w:id="24"/>
      <w:r/>
      <w:bookmarkEnd w:id="25"/>
      <w:r/>
      <w:bookmarkEnd w:id="26"/>
      <w:r/>
      <w:r/>
    </w:p>
    <w:p>
      <w:pPr>
        <w:pStyle w:val="708"/>
        <w:ind w:firstLine="42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27" w:name="_Toc20823279"/>
      <w:r/>
      <w:bookmarkStart w:id="28" w:name="_Toc513029207"/>
      <w:r/>
      <w:bookmarkStart w:id="29" w:name="_Toc16938523"/>
      <w:r/>
      <w:bookmarkStart w:id="30" w:name="_Toc462564067"/>
      <w:r>
        <w:rPr>
          <w:rFonts w:hint="eastAsia" w:ascii="宋体" w:hAnsi="宋体" w:eastAsia="宋体" w:cs="宋体"/>
          <w:color w:val="000000"/>
          <w:sz w:val="24"/>
          <w:szCs w:val="24"/>
          <w:highlight w:val="none"/>
        </w:rPr>
        <w:t xml:space="preserve">4、投标费用</w:t>
      </w:r>
      <w:bookmarkEnd w:id="27"/>
      <w:r/>
      <w:bookmarkEnd w:id="28"/>
      <w:r/>
      <w:bookmarkEnd w:id="29"/>
      <w:r/>
      <w:bookmarkEnd w:id="30"/>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p>
    <w:p>
      <w:pPr>
        <w:pStyle w:val="708"/>
        <w:ind w:firstLine="602"/>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708"/>
        <w:ind w:firstLine="321"/>
        <w:jc w:val="both"/>
        <w:keepLines/>
        <w:keepNext/>
        <w:pageBreakBefore w:val="0"/>
        <w:spacing w:before="145" w:beforeAutospacing="0" w:after="145" w:afterAutospacing="0" w:line="360" w:lineRule="exact"/>
        <w:widowControl w:val="off"/>
        <w:rPr>
          <w:rFonts w:hint="eastAsia" w:ascii="宋体" w:hAnsi="宋体" w:eastAsia="宋体" w:cs="宋体"/>
          <w:sz w:val="24"/>
          <w:szCs w:val="24"/>
          <w:highlight w:val="none"/>
        </w:rPr>
      </w:pPr>
      <w:r/>
      <w:bookmarkStart w:id="31" w:name="_Toc513029209"/>
      <w:r/>
      <w:bookmarkStart w:id="32" w:name="_Toc20823281"/>
      <w:r/>
      <w:bookmarkStart w:id="33" w:name="_Toc120614215"/>
      <w:r/>
      <w:bookmarkStart w:id="34" w:name="_Toc16938525"/>
      <w:r>
        <w:rPr>
          <w:rFonts w:hint="eastAsia" w:ascii="宋体" w:hAnsi="宋体" w:eastAsia="宋体" w:cs="宋体"/>
          <w:b/>
          <w:color w:val="000000"/>
          <w:sz w:val="24"/>
          <w:szCs w:val="24"/>
          <w:highlight w:val="none"/>
        </w:rPr>
        <w:t xml:space="preserve">二、招标文件</w:t>
      </w:r>
      <w:bookmarkEnd w:id="31"/>
      <w:r/>
      <w:bookmarkEnd w:id="32"/>
      <w:r/>
      <w:bookmarkEnd w:id="33"/>
      <w:r/>
      <w:bookmarkEnd w:id="34"/>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35" w:name="_Toc20823282"/>
      <w:r/>
      <w:bookmarkStart w:id="36" w:name="_Toc16938526"/>
      <w:r/>
      <w:bookmarkStart w:id="37" w:name="_Toc513029210"/>
      <w:r>
        <w:rPr>
          <w:rFonts w:hint="eastAsia" w:ascii="宋体" w:hAnsi="宋体" w:eastAsia="宋体" w:cs="宋体"/>
          <w:color w:val="000000"/>
          <w:sz w:val="24"/>
          <w:szCs w:val="24"/>
          <w:highlight w:val="none"/>
        </w:rPr>
        <w:t xml:space="preserve">6、招标文件构成</w:t>
      </w:r>
      <w:bookmarkEnd w:id="35"/>
      <w:r/>
      <w:bookmarkEnd w:id="36"/>
      <w:r/>
      <w:bookmarkEnd w:id="37"/>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708"/>
        <w:ind w:firstLine="360"/>
        <w:jc w:val="both"/>
        <w:pageBreakBefore w:val="0"/>
        <w:spacing w:beforeAutospacing="0" w:afterAutospacing="0"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708"/>
        <w:ind w:firstLine="36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708"/>
        <w:ind w:firstLine="36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708"/>
        <w:ind w:firstLine="36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708"/>
        <w:ind w:firstLine="36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708"/>
        <w:ind w:firstLine="36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联系解决。</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8"/>
        <w:ind w:firstLine="56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38" w:name="_Toc513029211"/>
      <w:r/>
      <w:bookmarkStart w:id="39" w:name="_Toc20823283"/>
      <w:r/>
      <w:bookmarkStart w:id="40" w:name="_Toc462564070"/>
      <w:r/>
      <w:bookmarkStart w:id="41" w:name="_Toc16938527"/>
      <w:r>
        <w:rPr>
          <w:rFonts w:hint="eastAsia" w:ascii="宋体" w:hAnsi="宋体" w:eastAsia="宋体" w:cs="宋体"/>
          <w:color w:val="000000"/>
          <w:sz w:val="24"/>
          <w:szCs w:val="24"/>
          <w:highlight w:val="none"/>
        </w:rPr>
        <w:t xml:space="preserve">7、招标文件的澄清</w:t>
      </w:r>
      <w:bookmarkEnd w:id="38"/>
      <w:r/>
      <w:bookmarkEnd w:id="39"/>
      <w:r/>
      <w:bookmarkEnd w:id="40"/>
      <w:r/>
      <w:bookmarkEnd w:id="41"/>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708"/>
        <w:ind w:firstLine="56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42" w:name="_Toc20823284"/>
      <w:r/>
      <w:bookmarkStart w:id="43" w:name="_Toc462564071"/>
      <w:r/>
      <w:bookmarkStart w:id="44" w:name="_Toc16938528"/>
      <w:r/>
      <w:bookmarkStart w:id="45" w:name="_Toc513029212"/>
      <w:r>
        <w:rPr>
          <w:rFonts w:hint="eastAsia" w:ascii="宋体" w:hAnsi="宋体" w:eastAsia="宋体" w:cs="宋体"/>
          <w:color w:val="000000"/>
          <w:sz w:val="24"/>
          <w:szCs w:val="24"/>
          <w:highlight w:val="none"/>
        </w:rPr>
        <w:t xml:space="preserve">8、招标文件的修改</w:t>
      </w:r>
      <w:bookmarkEnd w:id="42"/>
      <w:r/>
      <w:bookmarkEnd w:id="43"/>
      <w:r/>
      <w:bookmarkEnd w:id="44"/>
      <w:r/>
      <w:bookmarkEnd w:id="45"/>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708"/>
        <w:ind w:firstLine="482"/>
        <w:jc w:val="both"/>
        <w:keepLines/>
        <w:keepNext/>
        <w:pageBreakBefore w:val="0"/>
        <w:spacing w:before="145" w:beforeAutospacing="0" w:after="145" w:afterAutospacing="0" w:line="360" w:lineRule="exact"/>
        <w:widowControl w:val="off"/>
        <w:rPr>
          <w:rFonts w:hint="eastAsia" w:ascii="宋体" w:hAnsi="宋体" w:eastAsia="宋体" w:cs="宋体"/>
          <w:sz w:val="24"/>
          <w:szCs w:val="24"/>
          <w:highlight w:val="none"/>
        </w:rPr>
      </w:pPr>
      <w:r/>
      <w:bookmarkStart w:id="46" w:name="_Toc513029213"/>
      <w:r/>
      <w:bookmarkStart w:id="47" w:name="_Toc20823285"/>
      <w:r/>
      <w:bookmarkStart w:id="48" w:name="_Toc120614216"/>
      <w:r/>
      <w:bookmarkStart w:id="49" w:name="_Toc16938529"/>
      <w:r/>
      <w:bookmarkStart w:id="50" w:name="_Toc462564072"/>
      <w:r>
        <w:rPr>
          <w:rFonts w:hint="eastAsia" w:ascii="宋体" w:hAnsi="宋体" w:eastAsia="宋体" w:cs="宋体"/>
          <w:b/>
          <w:color w:val="000000"/>
          <w:sz w:val="24"/>
          <w:szCs w:val="24"/>
          <w:highlight w:val="none"/>
        </w:rPr>
        <w:t xml:space="preserve">三、投标文件的编制</w:t>
      </w:r>
      <w:bookmarkEnd w:id="46"/>
      <w:r/>
      <w:bookmarkEnd w:id="47"/>
      <w:r/>
      <w:bookmarkEnd w:id="48"/>
      <w:r/>
      <w:bookmarkEnd w:id="49"/>
      <w:r/>
      <w:bookmarkEnd w:id="50"/>
      <w:r/>
      <w:r/>
    </w:p>
    <w:p>
      <w:pPr>
        <w:pStyle w:val="708"/>
        <w:ind w:firstLine="56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51" w:name="_Toc462564073"/>
      <w:r/>
      <w:bookmarkStart w:id="52" w:name="_Toc20823286"/>
      <w:r/>
      <w:bookmarkStart w:id="53" w:name="_Toc513029214"/>
      <w:r/>
      <w:bookmarkStart w:id="54" w:name="_Toc16938530"/>
      <w:r>
        <w:rPr>
          <w:rFonts w:hint="eastAsia" w:ascii="宋体" w:hAnsi="宋体" w:eastAsia="宋体" w:cs="宋体"/>
          <w:color w:val="000000"/>
          <w:sz w:val="24"/>
          <w:szCs w:val="24"/>
          <w:highlight w:val="none"/>
        </w:rPr>
        <w:t xml:space="preserve">9、投标文件的语言及度量衡单位</w:t>
      </w:r>
      <w:bookmarkEnd w:id="51"/>
      <w:r/>
      <w:bookmarkEnd w:id="52"/>
      <w:r/>
      <w:bookmarkEnd w:id="53"/>
      <w:r/>
      <w:bookmarkEnd w:id="54"/>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55" w:name="_Toc462564074"/>
      <w:r/>
      <w:bookmarkStart w:id="56" w:name="_Toc16938531"/>
      <w:r/>
      <w:bookmarkStart w:id="57" w:name="_Toc20823287"/>
      <w:r/>
      <w:bookmarkStart w:id="58" w:name="_Toc513029215"/>
      <w:r>
        <w:rPr>
          <w:rFonts w:hint="eastAsia" w:ascii="宋体" w:hAnsi="宋体" w:eastAsia="宋体" w:cs="宋体"/>
          <w:color w:val="000000"/>
          <w:sz w:val="24"/>
          <w:szCs w:val="24"/>
          <w:highlight w:val="none"/>
        </w:rPr>
        <w:t xml:space="preserve">10、投标文件构成</w:t>
      </w:r>
      <w:bookmarkEnd w:id="55"/>
      <w:r/>
      <w:bookmarkEnd w:id="56"/>
      <w:r/>
      <w:bookmarkEnd w:id="57"/>
      <w:r/>
      <w:bookmarkEnd w:id="58"/>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59" w:name="_Toc49090509"/>
      <w:r/>
      <w:bookmarkStart w:id="60" w:name="_Toc14577357"/>
      <w:r/>
      <w:bookmarkStart w:id="61" w:name="_Toc14577354"/>
      <w:r/>
      <w:bookmarkStart w:id="62" w:name="_Toc513029216"/>
      <w:r/>
      <w:bookmarkStart w:id="63" w:name="_Toc513029219"/>
      <w:r/>
      <w:bookmarkStart w:id="64" w:name="_Toc49090507"/>
      <w:r/>
      <w:bookmarkStart w:id="65" w:name="_Hlt26954838"/>
      <w:r/>
      <w:bookmarkStart w:id="66" w:name="_Hlt26668975"/>
      <w:r/>
      <w:bookmarkStart w:id="67" w:name="_Hlt26670360"/>
      <w:r>
        <w:rPr>
          <w:rFonts w:hint="eastAsia" w:ascii="宋体" w:hAnsi="宋体" w:eastAsia="宋体" w:cs="宋体"/>
          <w:color w:val="000000"/>
          <w:sz w:val="24"/>
          <w:szCs w:val="24"/>
          <w:highlight w:val="none"/>
        </w:rPr>
        <w:t xml:space="preserve">11、证明投标人及投标标的符合招标文件规定的文件</w:t>
      </w:r>
      <w:bookmarkEnd w:id="59"/>
      <w:r/>
      <w:bookmarkEnd w:id="60"/>
      <w:r/>
      <w:bookmarkEnd w:id="61"/>
      <w:r/>
      <w:bookmarkEnd w:id="62"/>
      <w:r/>
      <w:bookmarkEnd w:id="63"/>
      <w:r/>
      <w:bookmarkEnd w:id="64"/>
      <w:r/>
      <w:r/>
    </w:p>
    <w:p>
      <w:pPr>
        <w:pStyle w:val="708"/>
        <w:jc w:val="both"/>
        <w:pageBreakBefore w:val="0"/>
        <w:spacing w:beforeAutospacing="0" w:afterAutospacing="0" w:line="360" w:lineRule="exact"/>
        <w:widowControl w:val="off"/>
        <w:rPr>
          <w:rFonts w:hint="eastAsia" w:ascii="宋体" w:hAnsi="宋体" w:eastAsia="宋体" w:cs="宋体"/>
          <w:sz w:val="24"/>
          <w:szCs w:val="24"/>
          <w:highlight w:val="none"/>
        </w:rPr>
      </w:pPr>
      <w:r/>
      <w:bookmarkStart w:id="68" w:name="_Toc14577355"/>
      <w:r/>
      <w:bookmarkStart w:id="69"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68"/>
      <w:r/>
      <w:bookmarkEnd w:id="69"/>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70" w:name="_Hlt26670373"/>
      <w:r>
        <w:rPr>
          <w:rFonts w:hint="eastAsia" w:ascii="宋体" w:hAnsi="宋体" w:eastAsia="宋体" w:cs="宋体"/>
          <w:color w:val="000000"/>
          <w:sz w:val="24"/>
          <w:szCs w:val="24"/>
          <w:highlight w:val="none"/>
        </w:rPr>
        <w:t xml:space="preserve">表</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71" w:name="_Hlt26954840"/>
      <w:r>
        <w:rPr>
          <w:rFonts w:hint="eastAsia" w:ascii="宋体" w:hAnsi="宋体" w:eastAsia="宋体" w:cs="宋体"/>
          <w:color w:val="000000"/>
          <w:sz w:val="24"/>
          <w:szCs w:val="24"/>
          <w:highlight w:val="none"/>
        </w:rPr>
        <w:t xml:space="preserve">标人应按照招标文件规定格式填报投标分项报价表</w:t>
      </w:r>
      <w:bookmarkStart w:id="72" w:name="_Hlt26670399"/>
      <w:r>
        <w:rPr>
          <w:rFonts w:hint="eastAsia" w:ascii="宋体" w:hAnsi="宋体" w:eastAsia="宋体" w:cs="宋体"/>
          <w:color w:val="000000"/>
          <w:sz w:val="24"/>
          <w:szCs w:val="24"/>
          <w:highlight w:val="none"/>
        </w:rPr>
        <w:t xml:space="preserve">。</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73" w:name="_Hlt26670425"/>
      <w:r/>
      <w:bookmarkStart w:id="74" w:name="_Hlt26668983"/>
      <w:r/>
      <w:bookmarkStart w:id="75" w:name="_Hlt26954846"/>
      <w:r/>
      <w:bookmarkStart w:id="76" w:name="_Hlt26954844"/>
      <w:r/>
      <w:bookmarkStart w:id="77" w:name="_Hlt26670403"/>
      <w:r/>
      <w:bookmarkStart w:id="78" w:name="_Hlt26670482"/>
      <w:r/>
      <w:bookmarkStart w:id="79" w:name="_Hlt26954731"/>
      <w:r/>
      <w:bookmarkStart w:id="80" w:name="_Hlt26670486"/>
      <w:r/>
      <w:bookmarkStart w:id="81" w:name="_Hlt26954842"/>
      <w:r/>
      <w:bookmarkStart w:id="82" w:name="_Hlt26954848"/>
      <w:r>
        <w:rPr>
          <w:rFonts w:hint="eastAsia" w:ascii="宋体" w:hAnsi="宋体" w:eastAsia="宋体" w:cs="宋体"/>
          <w:color w:val="000000"/>
          <w:sz w:val="24"/>
          <w:szCs w:val="24"/>
          <w:highlight w:val="none"/>
        </w:rPr>
        <w:t xml:space="preserve">13、技术要求响应及偏离表、商务要求响应及偏离表</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708"/>
        <w:ind w:firstLine="480"/>
        <w:jc w:val="both"/>
        <w:pageBreakBefore w:val="0"/>
        <w:spacing w:beforeAutospacing="0" w:afterAutospacing="0" w:line="360" w:lineRule="exact"/>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83" w:name="_Toc14577359"/>
      <w:r/>
      <w:bookmarkStart w:id="84" w:name="_Toc49090510"/>
      <w:r>
        <w:rPr>
          <w:rFonts w:hint="eastAsia" w:ascii="宋体" w:hAnsi="宋体" w:eastAsia="宋体" w:cs="宋体"/>
          <w:color w:val="000000"/>
          <w:sz w:val="24"/>
          <w:szCs w:val="24"/>
          <w:highlight w:val="none"/>
        </w:rPr>
        <w:t xml:space="preserve">14、投标函和开标一览表</w:t>
      </w:r>
      <w:bookmarkEnd w:id="83"/>
      <w:r/>
      <w:bookmarkEnd w:id="84"/>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85" w:name="_Toc14577360"/>
      <w:r/>
      <w:bookmarkStart w:id="86" w:name="_Toc49090511"/>
      <w:r/>
      <w:bookmarkStart w:id="87" w:name="_Hlt26954734"/>
      <w:r/>
      <w:bookmarkStart w:id="88" w:name="_Hlt26954850"/>
      <w:r/>
      <w:bookmarkStart w:id="89" w:name="_Hlt26670489"/>
      <w:r>
        <w:rPr>
          <w:rFonts w:hint="eastAsia" w:ascii="宋体" w:hAnsi="宋体" w:eastAsia="宋体" w:cs="宋体"/>
          <w:color w:val="000000"/>
          <w:sz w:val="24"/>
          <w:szCs w:val="24"/>
          <w:highlight w:val="none"/>
        </w:rPr>
        <w:t xml:space="preserve">15、投标有效期</w:t>
      </w:r>
      <w:bookmarkEnd w:id="85"/>
      <w:r/>
      <w:bookmarkEnd w:id="86"/>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708"/>
        <w:ind w:firstLine="482"/>
        <w:jc w:val="both"/>
        <w:keepLines/>
        <w:keepNext/>
        <w:pageBreakBefore w:val="0"/>
        <w:spacing w:before="145" w:beforeAutospacing="0" w:after="145" w:afterAutospacing="0" w:line="360" w:lineRule="exact"/>
        <w:widowControl w:val="off"/>
        <w:rPr>
          <w:rFonts w:hint="eastAsia" w:ascii="宋体" w:hAnsi="宋体" w:eastAsia="宋体" w:cs="宋体"/>
          <w:sz w:val="24"/>
          <w:szCs w:val="24"/>
          <w:highlight w:val="none"/>
        </w:rPr>
      </w:pPr>
      <w:r/>
      <w:bookmarkStart w:id="90" w:name="_Toc16938540"/>
      <w:r/>
      <w:bookmarkStart w:id="91" w:name="_Toc120614217"/>
      <w:r/>
      <w:bookmarkStart w:id="92" w:name="_Toc513029224"/>
      <w:r/>
      <w:bookmarkStart w:id="93" w:name="_Toc20823296"/>
      <w:r/>
      <w:bookmarkStart w:id="94" w:name="_Hlt26954739"/>
      <w:r/>
      <w:bookmarkStart w:id="95" w:name="_Hlt26954852"/>
      <w:r>
        <w:rPr>
          <w:rFonts w:hint="eastAsia" w:ascii="宋体" w:hAnsi="宋体" w:eastAsia="宋体" w:cs="宋体"/>
          <w:b/>
          <w:color w:val="000000"/>
          <w:sz w:val="24"/>
          <w:szCs w:val="24"/>
          <w:highlight w:val="none"/>
        </w:rPr>
        <w:t xml:space="preserve">四、投标文件的递交</w:t>
      </w:r>
      <w:bookmarkEnd w:id="90"/>
      <w:r/>
      <w:bookmarkEnd w:id="91"/>
      <w:r/>
      <w:bookmarkEnd w:id="92"/>
      <w:r/>
      <w:bookmarkEnd w:id="93"/>
      <w:r/>
      <w:r/>
    </w:p>
    <w:p>
      <w:pPr>
        <w:pStyle w:val="708"/>
        <w:ind w:firstLine="56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96" w:name="_Toc20823297"/>
      <w:r/>
      <w:bookmarkStart w:id="97" w:name="_Toc513029225"/>
      <w:r/>
      <w:bookmarkStart w:id="98" w:name="_Toc462564084"/>
      <w:r/>
      <w:bookmarkStart w:id="99" w:name="_Toc16938541"/>
      <w:r>
        <w:rPr>
          <w:rFonts w:hint="eastAsia" w:ascii="宋体" w:hAnsi="宋体" w:eastAsia="宋体" w:cs="宋体"/>
          <w:color w:val="000000"/>
          <w:sz w:val="24"/>
          <w:szCs w:val="24"/>
          <w:highlight w:val="none"/>
        </w:rPr>
        <w:t xml:space="preserve">17、投标文件</w:t>
      </w:r>
      <w:bookmarkEnd w:id="96"/>
      <w:r/>
      <w:bookmarkEnd w:id="97"/>
      <w:r/>
      <w:bookmarkEnd w:id="98"/>
      <w:r/>
      <w:bookmarkEnd w:id="99"/>
      <w:r>
        <w:rPr>
          <w:rFonts w:hint="eastAsia" w:ascii="宋体" w:hAnsi="宋体" w:eastAsia="宋体" w:cs="宋体"/>
          <w:color w:val="000000"/>
          <w:sz w:val="24"/>
          <w:szCs w:val="24"/>
          <w:highlight w:val="none"/>
        </w:rPr>
        <w:t xml:space="preserve">的递交</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708"/>
        <w:ind w:left="525"/>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00" w:name="_Toc20823298"/>
      <w:r/>
      <w:bookmarkEnd w:id="100"/>
      <w:r/>
      <w:bookmarkStart w:id="101" w:name="_Toc16938542"/>
      <w:r/>
      <w:bookmarkEnd w:id="101"/>
      <w:r/>
      <w:bookmarkStart w:id="102" w:name="_Toc513029226"/>
      <w:r/>
      <w:r/>
    </w:p>
    <w:p>
      <w:pPr>
        <w:pStyle w:val="708"/>
        <w:ind w:firstLine="420"/>
        <w:jc w:val="both"/>
        <w:keepLines/>
        <w:keepNext/>
        <w:pageBreakBefore w:val="0"/>
        <w:spacing w:before="280" w:beforeAutospacing="0" w:after="29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03" w:name="_Toc16938543"/>
      <w:r/>
      <w:bookmarkStart w:id="104" w:name="_Toc513029227"/>
      <w:r/>
      <w:bookmarkStart w:id="105" w:name="_Toc20823299"/>
      <w:r>
        <w:rPr>
          <w:rFonts w:hint="eastAsia" w:ascii="宋体" w:hAnsi="宋体" w:eastAsia="宋体" w:cs="宋体"/>
          <w:color w:val="000000"/>
          <w:sz w:val="24"/>
          <w:szCs w:val="24"/>
          <w:highlight w:val="none"/>
        </w:rPr>
        <w:t xml:space="preserve">19、投标文件</w:t>
      </w:r>
      <w:bookmarkEnd w:id="103"/>
      <w:r/>
      <w:bookmarkEnd w:id="104"/>
      <w:r/>
      <w:bookmarkEnd w:id="105"/>
      <w:r>
        <w:rPr>
          <w:rFonts w:hint="eastAsia" w:ascii="宋体" w:hAnsi="宋体" w:eastAsia="宋体" w:cs="宋体"/>
          <w:color w:val="000000"/>
          <w:sz w:val="24"/>
          <w:szCs w:val="24"/>
          <w:highlight w:val="none"/>
        </w:rPr>
        <w:t xml:space="preserve">的拒收</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06" w:name="_Toc16938544"/>
      <w:r/>
      <w:bookmarkStart w:id="107" w:name="_Toc20823300"/>
      <w:r/>
      <w:bookmarkStart w:id="108" w:name="_Toc513029228"/>
      <w:r>
        <w:rPr>
          <w:rFonts w:hint="eastAsia" w:ascii="宋体" w:hAnsi="宋体" w:eastAsia="宋体" w:cs="宋体"/>
          <w:color w:val="000000"/>
          <w:sz w:val="24"/>
          <w:szCs w:val="24"/>
          <w:highlight w:val="none"/>
        </w:rPr>
        <w:t xml:space="preserve">20、投标文件的撤回和修改</w:t>
      </w:r>
      <w:bookmarkEnd w:id="106"/>
      <w:r/>
      <w:bookmarkEnd w:id="107"/>
      <w:r/>
      <w:bookmarkEnd w:id="108"/>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708"/>
        <w:ind w:firstLine="482"/>
        <w:jc w:val="both"/>
        <w:keepLines/>
        <w:keepNext/>
        <w:pageBreakBefore w:val="0"/>
        <w:spacing w:before="145" w:beforeAutospacing="0" w:after="145" w:afterAutospacing="0" w:line="360" w:lineRule="exact"/>
        <w:widowControl w:val="off"/>
        <w:rPr>
          <w:rFonts w:hint="eastAsia" w:ascii="宋体" w:hAnsi="宋体" w:eastAsia="宋体" w:cs="宋体"/>
          <w:sz w:val="24"/>
          <w:szCs w:val="24"/>
          <w:highlight w:val="none"/>
        </w:rPr>
      </w:pPr>
      <w:r/>
      <w:bookmarkStart w:id="109" w:name="_Toc16938545"/>
      <w:r/>
      <w:bookmarkStart w:id="110" w:name="_Toc120614218"/>
      <w:r/>
      <w:bookmarkStart w:id="111" w:name="_Toc20823301"/>
      <w:r/>
      <w:bookmarkStart w:id="112" w:name="_Toc513029229"/>
      <w:r>
        <w:rPr>
          <w:rFonts w:hint="eastAsia" w:ascii="宋体" w:hAnsi="宋体" w:eastAsia="宋体" w:cs="宋体"/>
          <w:b/>
          <w:color w:val="000000"/>
          <w:sz w:val="24"/>
          <w:szCs w:val="24"/>
          <w:highlight w:val="none"/>
        </w:rPr>
        <w:t xml:space="preserve">五、开标与评标</w:t>
      </w:r>
      <w:bookmarkEnd w:id="109"/>
      <w:r/>
      <w:bookmarkEnd w:id="110"/>
      <w:r/>
      <w:bookmarkEnd w:id="111"/>
      <w:r/>
      <w:bookmarkEnd w:id="112"/>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pPr>
      <w:r/>
      <w:bookmarkStart w:id="113" w:name="_Toc16938546"/>
      <w:r/>
      <w:bookmarkStart w:id="114" w:name="_Toc20823302"/>
      <w:r/>
      <w:bookmarkStart w:id="115" w:name="_Toc513029230"/>
      <w:r>
        <w:rPr>
          <w:rFonts w:hint="eastAsia" w:ascii="宋体" w:hAnsi="宋体" w:eastAsia="宋体" w:cs="宋体"/>
          <w:color w:val="auto"/>
          <w:sz w:val="24"/>
          <w:szCs w:val="24"/>
          <w:highlight w:val="none"/>
        </w:rPr>
        <w:t xml:space="preserve">21、开标</w:t>
      </w:r>
      <w:bookmarkEnd w:id="113"/>
      <w:r/>
      <w:bookmarkEnd w:id="114"/>
      <w:r/>
      <w:bookmarkEnd w:id="115"/>
      <w:r/>
      <w:r/>
    </w:p>
    <w:p>
      <w:pPr>
        <w:pStyle w:val="708"/>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pPr>
      <w:r/>
      <w:bookmarkStart w:id="116" w:name="_Toc20823303"/>
      <w:r/>
      <w:bookmarkStart w:id="117" w:name="_Toc16938547"/>
      <w:r/>
      <w:bookmarkStart w:id="118" w:name="_Toc513029231"/>
      <w:r>
        <w:rPr>
          <w:rFonts w:hint="eastAsia" w:ascii="宋体" w:hAnsi="宋体" w:eastAsia="宋体" w:cs="宋体"/>
          <w:color w:val="auto"/>
          <w:sz w:val="24"/>
          <w:szCs w:val="24"/>
          <w:highlight w:val="none"/>
        </w:rPr>
        <w:t xml:space="preserve">22、评标委员会</w:t>
      </w:r>
      <w:bookmarkEnd w:id="116"/>
      <w:r/>
      <w:bookmarkEnd w:id="117"/>
      <w:r/>
      <w:bookmarkEnd w:id="118"/>
      <w:r/>
      <w:r/>
    </w:p>
    <w:p>
      <w:pPr>
        <w:pStyle w:val="708"/>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708"/>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708"/>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均不得向投标人或与评标无关的其他人员透露。</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19" w:name="_Toc16938548"/>
      <w:r/>
      <w:bookmarkStart w:id="120" w:name="_Toc20823304"/>
      <w:r/>
      <w:bookmarkStart w:id="121" w:name="_Toc513029232"/>
      <w:r>
        <w:rPr>
          <w:rFonts w:hint="eastAsia" w:ascii="宋体" w:hAnsi="宋体" w:eastAsia="宋体" w:cs="宋体"/>
          <w:color w:val="000000"/>
          <w:sz w:val="24"/>
          <w:szCs w:val="24"/>
          <w:highlight w:val="none"/>
        </w:rPr>
        <w:t xml:space="preserve">24、投标文件的澄清</w:t>
      </w:r>
      <w:bookmarkEnd w:id="119"/>
      <w:r/>
      <w:bookmarkEnd w:id="120"/>
      <w:r/>
      <w:bookmarkEnd w:id="121"/>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708"/>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22" w:name="_Toc513029233"/>
      <w:r/>
      <w:bookmarkStart w:id="123" w:name="_Toc20823305"/>
      <w:r/>
      <w:bookmarkStart w:id="124" w:name="_Toc16938549"/>
      <w:r>
        <w:rPr>
          <w:rFonts w:hint="eastAsia" w:ascii="宋体" w:hAnsi="宋体" w:eastAsia="宋体" w:cs="宋体"/>
          <w:color w:val="000000"/>
          <w:sz w:val="24"/>
          <w:szCs w:val="24"/>
          <w:highlight w:val="none"/>
        </w:rPr>
        <w:t xml:space="preserve">25、对投标文件的初审</w:t>
      </w:r>
      <w:bookmarkEnd w:id="122"/>
      <w:r/>
      <w:bookmarkEnd w:id="123"/>
      <w:r/>
      <w:bookmarkEnd w:id="124"/>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08"/>
        <w:ind w:firstLine="42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bookmarkStart w:id="125" w:name="_Toc513029234"/>
      <w:r/>
      <w:bookmarkStart w:id="126" w:name="_Toc16938550"/>
      <w:r/>
      <w:bookmarkStart w:id="127"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25"/>
      <w:r/>
      <w:bookmarkEnd w:id="126"/>
      <w:r/>
      <w:bookmarkEnd w:id="127"/>
      <w:r/>
      <w:r/>
    </w:p>
    <w:p>
      <w:pPr>
        <w:pStyle w:val="708"/>
        <w:ind w:firstLine="42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708"/>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bookmarkStart w:id="128" w:name="_Toc16938551"/>
      <w:r/>
      <w:bookmarkStart w:id="129" w:name="_Toc513029235"/>
      <w:r/>
      <w:bookmarkStart w:id="130" w:name="_Toc20823307"/>
      <w:r>
        <w:rPr>
          <w:rFonts w:hint="eastAsia" w:ascii="宋体" w:hAnsi="宋体" w:eastAsia="宋体" w:cs="宋体"/>
          <w:color w:val="auto"/>
          <w:sz w:val="24"/>
          <w:szCs w:val="24"/>
          <w:highlight w:val="none"/>
        </w:rPr>
        <w:t xml:space="preserve">26.1无效投标条款</w:t>
      </w:r>
      <w:bookmarkEnd w:id="128"/>
      <w:r/>
      <w:bookmarkEnd w:id="129"/>
      <w:r/>
      <w:bookmarkEnd w:id="130"/>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708"/>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708"/>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708"/>
        <w:ind w:firstLine="36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1.投标报价低于采购项目预算50% 的，即投标报价&lt;采购项目预算×50%；</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2.投标报价低于采购项目最高限价45% 的，即投标报价&lt;采购项目最高限价×45%；</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3.评标委员会认定的供应商报价过低、有可能影响产品质量或者不能诚信履约的其他情形。</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708"/>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708"/>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708"/>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708"/>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708"/>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708"/>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708"/>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708"/>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708"/>
        <w:ind w:firstLine="482"/>
        <w:jc w:val="both"/>
        <w:keepLines/>
        <w:keepNext/>
        <w:pageBreakBefore w:val="0"/>
        <w:spacing w:before="145" w:beforeAutospacing="0" w:after="145" w:afterAutospacing="0" w:line="360" w:lineRule="exact"/>
        <w:widowControl w:val="off"/>
        <w:rPr>
          <w:rFonts w:hint="eastAsia" w:ascii="宋体" w:hAnsi="宋体" w:eastAsia="宋体" w:cs="宋体"/>
          <w:sz w:val="24"/>
          <w:szCs w:val="24"/>
          <w:highlight w:val="none"/>
        </w:rPr>
      </w:pPr>
      <w:r/>
      <w:bookmarkStart w:id="131" w:name="_Toc120614219"/>
      <w:r>
        <w:rPr>
          <w:rFonts w:hint="eastAsia" w:ascii="宋体" w:hAnsi="宋体" w:eastAsia="宋体" w:cs="宋体"/>
          <w:b/>
          <w:color w:val="000000"/>
          <w:sz w:val="24"/>
          <w:szCs w:val="24"/>
          <w:highlight w:val="none"/>
        </w:rPr>
        <w:t xml:space="preserve">六、定标</w:t>
      </w:r>
      <w:bookmarkEnd w:id="131"/>
      <w:r/>
      <w:r/>
    </w:p>
    <w:p>
      <w:pPr>
        <w:pStyle w:val="708"/>
        <w:ind w:firstLine="60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32" w:name="_Toc20823310"/>
      <w:r/>
      <w:bookmarkStart w:id="133" w:name="_Toc513029238"/>
      <w:r/>
      <w:bookmarkStart w:id="134" w:name="_Toc16938554"/>
      <w:r>
        <w:rPr>
          <w:rFonts w:hint="eastAsia" w:ascii="宋体" w:hAnsi="宋体" w:eastAsia="宋体" w:cs="宋体"/>
          <w:color w:val="000000"/>
          <w:sz w:val="24"/>
          <w:szCs w:val="24"/>
          <w:highlight w:val="none"/>
        </w:rPr>
        <w:t xml:space="preserve">27、</w:t>
      </w:r>
      <w:bookmarkEnd w:id="132"/>
      <w:r>
        <w:rPr>
          <w:rFonts w:hint="eastAsia" w:ascii="宋体" w:hAnsi="宋体" w:eastAsia="宋体" w:cs="宋体"/>
          <w:color w:val="000000"/>
          <w:sz w:val="24"/>
          <w:szCs w:val="24"/>
          <w:highlight w:val="none"/>
        </w:rPr>
        <w:t xml:space="preserve">确定</w:t>
      </w:r>
      <w:bookmarkEnd w:id="133"/>
      <w:r/>
      <w:bookmarkEnd w:id="134"/>
      <w:r>
        <w:rPr>
          <w:rFonts w:hint="eastAsia" w:ascii="宋体" w:hAnsi="宋体" w:eastAsia="宋体" w:cs="宋体"/>
          <w:color w:val="000000"/>
          <w:sz w:val="24"/>
          <w:szCs w:val="24"/>
          <w:highlight w:val="none"/>
        </w:rPr>
        <w:t xml:space="preserve">中标单位</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行贿或者提供其他不正当利益的。</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bookmarkStart w:id="135" w:name="_Toc200451960"/>
      <w:r>
        <w:rPr>
          <w:rFonts w:hint="eastAsia" w:ascii="宋体" w:hAnsi="宋体" w:eastAsia="宋体" w:cs="宋体"/>
          <w:color w:val="000000"/>
          <w:sz w:val="24"/>
          <w:szCs w:val="24"/>
          <w:highlight w:val="none"/>
        </w:rPr>
        <w:t xml:space="preserve">27.5 有下列情形之一的，视为投标人串通投标，投标无效：</w:t>
      </w:r>
      <w:bookmarkEnd w:id="135"/>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708"/>
        <w:ind w:firstLine="60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8"/>
        <w:ind w:firstLine="482"/>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负责答复。</w:t>
      </w:r>
      <w:r/>
    </w:p>
    <w:p>
      <w:pPr>
        <w:ind w:firstLine="480"/>
        <w:jc w:val="left"/>
        <w:pageBreakBefore w:val="0"/>
        <w:spacing w:line="360" w:lineRule="exact"/>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采购人只接收以纸质原件形式送达的质疑,采购人和采购代理机构不接受未填写快递运单的快件。质疑接收部门为东台市农业农村局，联系地址：见采购公告，联系电话：见采购公告</w:t>
      </w:r>
      <w:bookmarkStart w:id="180" w:name="_GoBack"/>
      <w:r/>
      <w:bookmarkEnd w:id="180"/>
      <w:r>
        <w:rPr>
          <w:rFonts w:hint="eastAsia" w:ascii="宋体" w:hAnsi="宋体" w:eastAsia="宋体" w:cs="宋体"/>
          <w:color w:val="000000"/>
          <w:sz w:val="24"/>
          <w:szCs w:val="24"/>
          <w:highlight w:val="none"/>
          <w:lang w:val="en-US" w:eastAsia="zh-CN" w:bidi="ar-SA"/>
        </w:rPr>
        <w:t xml:space="preserve">。</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708"/>
        <w:ind w:firstLine="468"/>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708"/>
        <w:ind w:firstLine="60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708"/>
        <w:ind w:firstLine="60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08"/>
        <w:ind w:firstLine="60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708"/>
        <w:jc w:val="both"/>
        <w:keepLines/>
        <w:keepNext/>
        <w:pageBreakBefore w:val="0"/>
        <w:spacing w:before="145" w:beforeAutospacing="0" w:after="145" w:afterAutospacing="0" w:line="360" w:lineRule="exact"/>
        <w:widowControl w:val="off"/>
        <w:rPr>
          <w:rFonts w:hint="eastAsia" w:ascii="宋体" w:hAnsi="宋体" w:eastAsia="宋体" w:cs="宋体"/>
          <w:sz w:val="24"/>
          <w:szCs w:val="24"/>
          <w:highlight w:val="none"/>
        </w:rPr>
      </w:pPr>
      <w:r/>
      <w:bookmarkStart w:id="136" w:name="_Toc16938552"/>
      <w:r/>
      <w:bookmarkStart w:id="137" w:name="_Toc120614220"/>
      <w:r/>
      <w:bookmarkStart w:id="138" w:name="_Toc513029236"/>
      <w:r/>
      <w:bookmarkStart w:id="139" w:name="_Toc20823308"/>
      <w:r>
        <w:rPr>
          <w:rFonts w:hint="eastAsia" w:ascii="宋体" w:hAnsi="宋体" w:eastAsia="宋体" w:cs="宋体"/>
          <w:b/>
          <w:color w:val="000000"/>
          <w:sz w:val="24"/>
          <w:szCs w:val="24"/>
          <w:highlight w:val="none"/>
        </w:rPr>
        <w:t xml:space="preserve">七、授予合同</w:t>
      </w:r>
      <w:bookmarkEnd w:id="136"/>
      <w:r/>
      <w:bookmarkEnd w:id="137"/>
      <w:r/>
      <w:bookmarkEnd w:id="138"/>
      <w:r/>
      <w:bookmarkEnd w:id="139"/>
      <w:r/>
      <w:r/>
    </w:p>
    <w:p>
      <w:pPr>
        <w:pStyle w:val="708"/>
        <w:ind w:firstLine="60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40" w:name="_Toc513029237"/>
      <w:r/>
      <w:bookmarkStart w:id="141" w:name="_Toc20823309"/>
      <w:r/>
      <w:bookmarkStart w:id="142" w:name="_Toc16938553"/>
      <w:r>
        <w:rPr>
          <w:rFonts w:hint="eastAsia" w:ascii="宋体" w:hAnsi="宋体" w:eastAsia="宋体" w:cs="宋体"/>
          <w:color w:val="000000"/>
          <w:sz w:val="24"/>
          <w:szCs w:val="24"/>
          <w:highlight w:val="none"/>
        </w:rPr>
        <w:t xml:space="preserve">30.签订合同</w:t>
      </w:r>
      <w:bookmarkEnd w:id="140"/>
      <w:r/>
      <w:bookmarkEnd w:id="141"/>
      <w:r/>
      <w:bookmarkEnd w:id="142"/>
      <w:r/>
      <w:r/>
    </w:p>
    <w:p>
      <w:pPr>
        <w:pStyle w:val="708"/>
        <w:ind w:firstLine="60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708"/>
        <w:ind w:firstLine="60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708"/>
        <w:ind w:firstLine="600"/>
        <w:jc w:val="both"/>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08"/>
        <w:ind w:firstLine="60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708"/>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8"/>
        <w:ind w:firstLine="600"/>
        <w:jc w:val="both"/>
        <w:keepLines/>
        <w:keepNext/>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708"/>
        <w:ind w:firstLine="600"/>
        <w:jc w:val="both"/>
        <w:keepLines/>
        <w:keepNext/>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708"/>
        <w:ind w:firstLine="600"/>
        <w:jc w:val="both"/>
        <w:keepLines/>
        <w:keepNext/>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36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履约保证金金额不得超过合同金额的10%</w:t>
      </w:r>
      <w:r>
        <w:rPr>
          <w:rFonts w:hint="eastAsia" w:ascii="宋体" w:hAnsi="宋体" w:eastAsia="宋体" w:cs="宋体"/>
          <w:color w:val="000000"/>
          <w:sz w:val="24"/>
          <w:szCs w:val="24"/>
          <w:highlight w:val="none"/>
          <w:lang w:val="en-US" w:eastAsia="zh-CN"/>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708"/>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ff0000"/>
          <w:sz w:val="24"/>
          <w:szCs w:val="24"/>
          <w:highlight w:val="none"/>
          <w:u w:val="single"/>
          <w:lang w:val="en-US" w:eastAsia="zh-CN"/>
        </w:rPr>
        <w:t xml:space="preserve">30</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ageBreakBefore w:val="0"/>
        <w:spacing w:line="360" w:lineRule="exact"/>
        <w:widowControl w:val="off"/>
        <w:rPr>
          <w:rFonts w:hint="eastAsia"/>
        </w:rPr>
      </w:pPr>
      <w:r/>
      <w:bookmarkStart w:id="143" w:name="_Toc8293"/>
      <w:r>
        <w:rPr>
          <w:rFonts w:hint="eastAsia"/>
        </w:rPr>
        <w:br w:type="page" w:clear="all"/>
      </w:r>
      <w:r/>
    </w:p>
    <w:p>
      <w:pPr>
        <w:pStyle w:val="675"/>
        <w:jc w:val="center"/>
      </w:pPr>
      <w:r>
        <w:rPr>
          <w:rFonts w:hint="eastAsia"/>
        </w:rPr>
        <w:t xml:space="preserve">第三章</w:t>
      </w:r>
      <w:r>
        <w:rPr>
          <w:rFonts w:hint="eastAsia"/>
          <w:lang w:val="en-US" w:eastAsia="zh-CN"/>
        </w:rPr>
        <w:t xml:space="preserve">  </w:t>
      </w:r>
      <w:r>
        <w:rPr>
          <w:rFonts w:hint="eastAsia"/>
        </w:rPr>
        <w:t xml:space="preserve">合同文本</w:t>
      </w:r>
      <w:bookmarkEnd w:id="143"/>
      <w:r/>
      <w:r/>
    </w:p>
    <w:p>
      <w:pPr>
        <w:pStyle w:val="708"/>
        <w:jc w:val="center"/>
        <w:keepLines w:val="0"/>
        <w:keepNext w:val="0"/>
        <w:pageBreakBefore w:val="0"/>
        <w:spacing w:before="145" w:beforeAutospacing="0" w:after="145"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708"/>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东台市农村乱占耕地建房住宅类房屋专项整治项目</w:t>
      </w:r>
      <w:r/>
    </w:p>
    <w:p>
      <w:pPr>
        <w:pStyle w:val="708"/>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项目编号：JSZC-320981-BJZC-G2025-00</w:t>
      </w:r>
      <w:r>
        <w:rPr>
          <w:rFonts w:hint="eastAsia" w:ascii="宋体" w:hAnsi="宋体" w:eastAsia="宋体" w:cs="宋体"/>
          <w:color w:val="000000"/>
          <w:sz w:val="24"/>
          <w:szCs w:val="24"/>
          <w:highlight w:val="none"/>
          <w:lang w:val="en-US" w:eastAsia="zh-CN"/>
        </w:rPr>
        <w:t xml:space="preserve">  </w:t>
      </w:r>
      <w:r/>
    </w:p>
    <w:p>
      <w:pPr>
        <w:pStyle w:val="708"/>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lang w:val="en-US" w:eastAsia="zh-CN"/>
        </w:rPr>
        <w:t xml:space="preserve">东台市农业农村局</w:t>
      </w:r>
      <w:r/>
    </w:p>
    <w:p>
      <w:pPr>
        <w:pStyle w:val="708"/>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708"/>
        <w:ind w:firstLine="480"/>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u w:val="single"/>
          <w:lang w:val="en-US" w:eastAsia="zh-CN"/>
        </w:rPr>
        <w:t xml:space="preserve">东台市农村乱占耕地建房住宅类房屋专项整治项目</w:t>
      </w:r>
      <w:r>
        <w:rPr>
          <w:rFonts w:hint="eastAsia" w:ascii="宋体" w:hAnsi="宋体" w:eastAsia="宋体" w:cs="宋体"/>
          <w:color w:val="000000"/>
          <w:sz w:val="24"/>
          <w:szCs w:val="24"/>
          <w:highlight w:val="none"/>
        </w:rPr>
        <w:t xml:space="preserve">公开招标的结果，签署本合同。</w:t>
      </w:r>
      <w:r/>
    </w:p>
    <w:p>
      <w:pPr>
        <w:pStyle w:val="708"/>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708"/>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1.1标</w:t>
      </w:r>
      <w:r>
        <w:rPr>
          <w:rFonts w:hint="eastAsia" w:ascii="宋体" w:hAnsi="宋体" w:eastAsia="宋体" w:cs="宋体"/>
          <w:color w:val="000000"/>
          <w:sz w:val="24"/>
          <w:szCs w:val="24"/>
          <w:highlight w:val="none"/>
          <w:lang w:val="en-US" w:eastAsia="zh-CN"/>
        </w:rPr>
        <w:t xml:space="preserve">的名称：东台市农村乱占耕地建房住宅类房屋专项整治项目</w:t>
      </w:r>
      <w:r/>
    </w:p>
    <w:p>
      <w:pPr>
        <w:pStyle w:val="708"/>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1.2标的质量：符合国家及行业有关规定。</w:t>
      </w:r>
      <w:r/>
    </w:p>
    <w:p>
      <w:pPr>
        <w:pStyle w:val="708"/>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1.3标的数量（规模）：</w:t>
      </w:r>
      <w:r/>
    </w:p>
    <w:p>
      <w:pPr>
        <w:pStyle w:val="708"/>
        <w:ind w:left="410" w:hanging="410"/>
        <w:jc w:val="center"/>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东台市住宅类房屋专项整治标段分布</w:t>
      </w:r>
      <w:r/>
    </w:p>
    <w:tbl>
      <w:tblPr>
        <w:tblStyle w:val="685"/>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2774"/>
        <w:gridCol w:w="2777"/>
        <w:gridCol w:w="2782"/>
      </w:tblGrid>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5" w:type="pct"/>
            <w:vAlign w:val="center"/>
            <w:textDirection w:val="lrTb"/>
            <w:noWrap w:val="false"/>
          </w:tcPr>
          <w:p>
            <w:pPr>
              <w:jc w:val="center"/>
              <w:rPr>
                <w:rFonts w:hint="eastAsia"/>
                <w:lang w:val="en-US" w:eastAsia="zh-CN"/>
              </w:rPr>
            </w:pPr>
            <w:r>
              <w:rPr>
                <w:rFonts w:hint="eastAsia"/>
                <w:lang w:val="en-US" w:eastAsia="zh-CN"/>
              </w:rPr>
              <w:t xml:space="preserve">镇区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lang w:val="en-US" w:eastAsia="zh-CN"/>
              </w:rPr>
              <w:t xml:space="preserve">数量（宗）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8" w:type="pct"/>
            <w:vAlign w:val="center"/>
            <w:textDirection w:val="lrTb"/>
            <w:noWrap w:val="false"/>
          </w:tcPr>
          <w:p>
            <w:pPr>
              <w:jc w:val="center"/>
              <w:rPr>
                <w:rFonts w:hint="eastAsia"/>
                <w:lang w:val="en-US" w:eastAsia="zh-CN"/>
              </w:rPr>
            </w:pPr>
            <w:r>
              <w:rPr>
                <w:rFonts w:hint="eastAsia"/>
                <w:lang w:val="en-US" w:eastAsia="zh-CN"/>
              </w:rPr>
              <w:t xml:space="preserve">合计（宗）</w:t>
            </w:r>
            <w:r/>
          </w:p>
        </w:tc>
      </w:tr>
      <w:tr>
        <w:trPr>
          <w:trHeight w:val="340" w:hRule="exact"/>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000" w:type="pct"/>
            <w:vAlign w:val="center"/>
            <w:textDirection w:val="lrTb"/>
            <w:noWrap w:val="false"/>
          </w:tcPr>
          <w:p>
            <w:pPr>
              <w:jc w:val="center"/>
              <w:rPr>
                <w:rFonts w:hint="default"/>
                <w:lang w:val="en-US" w:eastAsia="zh-CN"/>
              </w:rPr>
            </w:pPr>
            <w:r>
              <w:rPr>
                <w:rFonts w:hint="eastAsia"/>
                <w:lang w:val="en-US" w:eastAsia="zh-CN"/>
              </w:rPr>
              <w:t xml:space="preserve">采购包***</w:t>
            </w:r>
            <w:r/>
          </w:p>
        </w:tc>
      </w:tr>
      <w:tr>
        <w:trPr>
          <w:trHeight w:val="340"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5" w:type="pct"/>
            <w:vAlign w:val="center"/>
            <w:textDirection w:val="lrTb"/>
            <w:noWrap w:val="false"/>
          </w:tcPr>
          <w:p>
            <w:pPr>
              <w:jc w:val="center"/>
              <w:rPr>
                <w:rFonts w:hint="eastAsia"/>
                <w:lang w:val="en-US" w:eastAsia="zh-CN"/>
              </w:rPr>
            </w:pPr>
            <w:r>
              <w:rPr>
                <w:rFonts w:hint="eastAsia"/>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right w:val="single" w:color="auto" w:sz="4" w:space="0"/>
            </w:tcBorders>
            <w:tcMar>
              <w:left w:w="15" w:type="dxa"/>
              <w:top w:w="15" w:type="dxa"/>
              <w:right w:w="15" w:type="dxa"/>
            </w:tcMar>
            <w:tcW w:w="1668" w:type="pct"/>
            <w:vAlign w:val="center"/>
            <w:vMerge w:val="restart"/>
            <w:textDirection w:val="lrTb"/>
            <w:noWrap w:val="false"/>
          </w:tcPr>
          <w:p>
            <w:pPr>
              <w:jc w:val="center"/>
              <w:rPr>
                <w:rFonts w:hint="default"/>
                <w:lang w:val="en-US" w:eastAsia="zh-CN"/>
              </w:rPr>
            </w:pPr>
            <w:r>
              <w:rPr>
                <w:rFonts w:hint="default"/>
                <w:lang w:val="en-US" w:eastAsia="zh-CN"/>
              </w:rPr>
            </w:r>
            <w:r/>
          </w:p>
        </w:tc>
      </w:tr>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5" w:type="pct"/>
            <w:vAlign w:val="center"/>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lang w:val="en-US" w:eastAsia="zh-CN"/>
              </w:rPr>
            </w:r>
            <w:r/>
          </w:p>
        </w:tc>
        <w:tc>
          <w:tcPr>
            <w:tcBorders>
              <w:left w:val="single" w:color="auto" w:sz="4" w:space="0"/>
              <w:right w:val="single" w:color="auto" w:sz="4" w:space="0"/>
            </w:tcBorders>
            <w:tcMar>
              <w:left w:w="15" w:type="dxa"/>
              <w:top w:w="15" w:type="dxa"/>
              <w:right w:w="15" w:type="dxa"/>
            </w:tcMar>
            <w:tcW w:w="1668" w:type="pct"/>
            <w:vAlign w:val="center"/>
            <w:vMerge w:val="continue"/>
            <w:textDirection w:val="lrTb"/>
            <w:noWrap w:val="false"/>
          </w:tcPr>
          <w:p>
            <w:pPr>
              <w:jc w:val="center"/>
              <w:rPr>
                <w:rFonts w:hint="eastAsia"/>
              </w:rPr>
            </w:pPr>
            <w:r>
              <w:rPr>
                <w:rFonts w:hint="eastAsia"/>
              </w:rPr>
            </w:r>
            <w:r/>
          </w:p>
        </w:tc>
      </w:tr>
      <w:tr>
        <w:trPr>
          <w:trHeight w:val="340"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5" w:type="pct"/>
            <w:vAlign w:val="center"/>
            <w:textDirection w:val="lrTb"/>
            <w:noWrap w:val="false"/>
          </w:tcPr>
          <w:p>
            <w:pPr>
              <w:jc w:val="center"/>
              <w:rPr>
                <w:rFonts w:hint="eastAsia"/>
                <w:lang w:val="en-US" w:eastAsia="zh-CN"/>
              </w:rPr>
            </w:pPr>
            <w:r>
              <w:rPr>
                <w:rFonts w:hint="eastAsia"/>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lang w:val="en-US" w:eastAsia="zh-CN"/>
              </w:rPr>
            </w:r>
            <w:r/>
          </w:p>
        </w:tc>
        <w:tc>
          <w:tcPr>
            <w:tcBorders>
              <w:left w:val="single" w:color="auto" w:sz="4" w:space="0"/>
              <w:right w:val="single" w:color="auto" w:sz="4" w:space="0"/>
            </w:tcBorders>
            <w:tcMar>
              <w:left w:w="15" w:type="dxa"/>
              <w:top w:w="15" w:type="dxa"/>
              <w:right w:w="15" w:type="dxa"/>
            </w:tcMar>
            <w:tcW w:w="1668" w:type="pct"/>
            <w:vAlign w:val="center"/>
            <w:vMerge w:val="continue"/>
            <w:textDirection w:val="lrTb"/>
            <w:noWrap w:val="false"/>
          </w:tcPr>
          <w:p>
            <w:pPr>
              <w:jc w:val="center"/>
              <w:rPr>
                <w:rFonts w:hint="eastAsia"/>
              </w:rPr>
            </w:pPr>
            <w:r>
              <w:rPr>
                <w:rFonts w:hint="eastAsia"/>
              </w:rPr>
            </w:r>
            <w:r/>
          </w:p>
        </w:tc>
      </w:tr>
      <w:tr>
        <w:trPr>
          <w:trHeight w:val="340"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5" w:type="pct"/>
            <w:vAlign w:val="center"/>
            <w:textDirection w:val="lrTb"/>
            <w:noWrap w:val="false"/>
          </w:tcPr>
          <w:p>
            <w:pPr>
              <w:jc w:val="center"/>
              <w:rPr>
                <w:rFonts w:hint="eastAsia"/>
                <w:lang w:val="en-US" w:eastAsia="zh-CN"/>
              </w:rPr>
            </w:pPr>
            <w:r>
              <w:rPr>
                <w:rFonts w:hint="eastAsia"/>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lang w:val="en-US" w:eastAsia="zh-CN"/>
              </w:rPr>
            </w:r>
            <w:r/>
          </w:p>
        </w:tc>
        <w:tc>
          <w:tcPr>
            <w:tcBorders>
              <w:left w:val="single" w:color="auto" w:sz="4" w:space="0"/>
              <w:bottom w:val="single" w:color="auto" w:sz="4" w:space="0"/>
              <w:right w:val="single" w:color="auto" w:sz="4" w:space="0"/>
            </w:tcBorders>
            <w:tcMar>
              <w:left w:w="15" w:type="dxa"/>
              <w:top w:w="15" w:type="dxa"/>
              <w:right w:w="15" w:type="dxa"/>
            </w:tcMar>
            <w:tcW w:w="1668" w:type="pct"/>
            <w:vAlign w:val="center"/>
            <w:vMerge w:val="continue"/>
            <w:textDirection w:val="lrTb"/>
            <w:noWrap w:val="false"/>
          </w:tcPr>
          <w:p>
            <w:pPr>
              <w:jc w:val="center"/>
              <w:rPr>
                <w:rFonts w:hint="eastAsia"/>
              </w:rPr>
            </w:pPr>
            <w:r>
              <w:rPr>
                <w:rFonts w:hint="eastAsia"/>
              </w:rPr>
            </w:r>
            <w:r/>
          </w:p>
        </w:tc>
      </w:tr>
    </w:tbl>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1.4履行时间（期限）：</w:t>
      </w:r>
      <w:r>
        <w:rPr>
          <w:rFonts w:hint="eastAsia" w:ascii="宋体" w:hAnsi="宋体" w:eastAsia="宋体" w:cs="宋体"/>
          <w:color w:val="000000"/>
          <w:sz w:val="24"/>
          <w:szCs w:val="24"/>
          <w:highlight w:val="none"/>
          <w:lang w:val="en-US" w:eastAsia="zh-CN"/>
        </w:rPr>
        <w:t xml:space="preserve">2年，本项目要求于2027年12月31日前完成全部工作任务。</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具体进度要求：</w:t>
      </w:r>
      <w:r/>
    </w:p>
    <w:p>
      <w:pPr>
        <w:pStyle w:val="708"/>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red"/>
          <w:lang w:val="en-US" w:eastAsia="zh-CN"/>
        </w:rPr>
      </w:pPr>
      <w:r>
        <w:rPr>
          <w:rFonts w:hint="default" w:ascii="宋体" w:hAnsi="宋体" w:eastAsia="宋体" w:cs="宋体"/>
          <w:color w:val="000000"/>
          <w:sz w:val="24"/>
          <w:szCs w:val="24"/>
          <w:highlight w:val="none"/>
          <w:lang w:val="en-US" w:eastAsia="zh-CN"/>
        </w:rPr>
        <w:t xml:space="preserve">（1）202</w:t>
      </w:r>
      <w:r>
        <w:rPr>
          <w:rFonts w:hint="eastAsia" w:ascii="宋体" w:hAnsi="宋体" w:eastAsia="宋体" w:cs="宋体"/>
          <w:color w:val="000000"/>
          <w:sz w:val="24"/>
          <w:szCs w:val="24"/>
          <w:highlight w:val="none"/>
          <w:lang w:val="en-US" w:eastAsia="zh-CN"/>
        </w:rPr>
        <w:t xml:space="preserve">6</w:t>
      </w:r>
      <w:r>
        <w:rPr>
          <w:rFonts w:hint="default"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rPr>
        <w:t xml:space="preserve">2月28日</w:t>
      </w:r>
      <w:r>
        <w:rPr>
          <w:rFonts w:hint="default" w:ascii="宋体" w:hAnsi="宋体" w:eastAsia="宋体" w:cs="宋体"/>
          <w:color w:val="000000"/>
          <w:sz w:val="24"/>
          <w:szCs w:val="24"/>
          <w:highlight w:val="none"/>
          <w:lang w:val="en-US" w:eastAsia="zh-CN"/>
        </w:rPr>
        <w:t xml:space="preserve">完成问题图斑补充调查工作，筛选出剔除图斑和整治图斑，剔除图斑编制“一宗一档”</w:t>
      </w:r>
      <w:r>
        <w:rPr>
          <w:rFonts w:hint="eastAsia" w:ascii="宋体" w:hAnsi="宋体" w:eastAsia="宋体" w:cs="宋体"/>
          <w:color w:val="000000"/>
          <w:sz w:val="24"/>
          <w:szCs w:val="24"/>
          <w:highlight w:val="none"/>
          <w:lang w:val="en-US" w:eastAsia="zh-CN"/>
        </w:rPr>
        <w:t xml:space="preserve">并上传，完成审核</w:t>
      </w:r>
      <w:r>
        <w:rPr>
          <w:rFonts w:hint="default" w:ascii="宋体" w:hAnsi="宋体" w:eastAsia="宋体" w:cs="宋体"/>
          <w:color w:val="000000"/>
          <w:sz w:val="24"/>
          <w:szCs w:val="24"/>
          <w:highlight w:val="none"/>
          <w:lang w:val="en-US" w:eastAsia="zh-CN"/>
        </w:rPr>
        <w:t xml:space="preserve">。</w:t>
      </w:r>
      <w:r/>
    </w:p>
    <w:p>
      <w:pPr>
        <w:pStyle w:val="708"/>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（2）2026年</w:t>
      </w:r>
      <w:r>
        <w:rPr>
          <w:rFonts w:hint="eastAsia" w:ascii="宋体" w:hAnsi="宋体" w:eastAsia="宋体" w:cs="宋体"/>
          <w:color w:val="000000"/>
          <w:sz w:val="24"/>
          <w:szCs w:val="24"/>
          <w:highlight w:val="none"/>
          <w:lang w:val="en-US" w:eastAsia="zh-CN"/>
        </w:rPr>
        <w:t xml:space="preserve">12</w:t>
      </w:r>
      <w:r>
        <w:rPr>
          <w:rFonts w:hint="default" w:ascii="宋体" w:hAnsi="宋体" w:eastAsia="宋体" w:cs="宋体"/>
          <w:color w:val="000000"/>
          <w:sz w:val="24"/>
          <w:szCs w:val="24"/>
          <w:highlight w:val="none"/>
          <w:lang w:val="en-US" w:eastAsia="zh-CN"/>
        </w:rPr>
        <w:t xml:space="preserve">月3</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日前完成60%整治类、非整治类图斑，并逐宗出具整治验收意见表并上传工作平台，形成整治成果台账。</w:t>
      </w:r>
      <w:r/>
    </w:p>
    <w:p>
      <w:pPr>
        <w:pStyle w:val="708"/>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（3）202</w:t>
      </w:r>
      <w:r>
        <w:rPr>
          <w:rFonts w:hint="eastAsia" w:ascii="宋体" w:hAnsi="宋体" w:eastAsia="宋体" w:cs="宋体"/>
          <w:color w:val="000000"/>
          <w:sz w:val="24"/>
          <w:szCs w:val="24"/>
          <w:highlight w:val="none"/>
          <w:lang w:val="en-US" w:eastAsia="zh-CN"/>
        </w:rPr>
        <w:t xml:space="preserve">7</w:t>
      </w:r>
      <w:r>
        <w:rPr>
          <w:rFonts w:hint="default"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rPr>
        <w:t xml:space="preserve">6</w:t>
      </w:r>
      <w:r>
        <w:rPr>
          <w:rFonts w:hint="default" w:ascii="宋体" w:hAnsi="宋体" w:eastAsia="宋体" w:cs="宋体"/>
          <w:color w:val="000000"/>
          <w:sz w:val="24"/>
          <w:szCs w:val="24"/>
          <w:highlight w:val="none"/>
          <w:lang w:val="en-US" w:eastAsia="zh-CN"/>
        </w:rPr>
        <w:t xml:space="preserve">月3</w:t>
      </w:r>
      <w:r>
        <w:rPr>
          <w:rFonts w:hint="eastAsia" w:ascii="宋体" w:hAnsi="宋体" w:eastAsia="宋体" w:cs="宋体"/>
          <w:color w:val="000000"/>
          <w:sz w:val="24"/>
          <w:szCs w:val="24"/>
          <w:highlight w:val="none"/>
          <w:lang w:val="en-US" w:eastAsia="zh-CN"/>
        </w:rPr>
        <w:t xml:space="preserve">0</w:t>
      </w:r>
      <w:r>
        <w:rPr>
          <w:rFonts w:hint="default" w:ascii="宋体" w:hAnsi="宋体" w:eastAsia="宋体" w:cs="宋体"/>
          <w:color w:val="000000"/>
          <w:sz w:val="24"/>
          <w:szCs w:val="24"/>
          <w:highlight w:val="none"/>
          <w:lang w:val="en-US" w:eastAsia="zh-CN"/>
        </w:rPr>
        <w:t xml:space="preserve">日前完成100%整治类、非整治类图斑，并逐宗出具整治验收意见表并上传工作平台，形成整治成果台账。</w:t>
      </w:r>
      <w:r/>
    </w:p>
    <w:p>
      <w:pPr>
        <w:pStyle w:val="708"/>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（4）2027年12月31日全部问题图斑完成销号，项目通过省部级抽查验收。</w:t>
      </w:r>
      <w:r/>
    </w:p>
    <w:p>
      <w:pPr>
        <w:pStyle w:val="708"/>
        <w:ind w:firstLine="480"/>
        <w:jc w:val="both"/>
        <w:keepLines w:val="0"/>
        <w:keepNext w:val="0"/>
        <w:pageBreakBefore w:val="0"/>
        <w:spacing w:before="120" w:beforeAutospacing="0" w:after="120" w:afterAutospacing="0" w:line="36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val="en-US" w:eastAsia="zh-CN"/>
        </w:rPr>
        <w:t xml:space="preserve">东台市各乡镇</w:t>
      </w:r>
      <w:r/>
    </w:p>
    <w:p>
      <w:pPr>
        <w:pStyle w:val="708"/>
        <w:ind w:firstLine="480"/>
        <w:jc w:val="both"/>
        <w:keepLines w:val="0"/>
        <w:keepNext w:val="0"/>
        <w:pageBreakBefore w:val="0"/>
        <w:spacing w:before="120" w:beforeAutospacing="0" w:after="120" w:afterAutospacing="0" w:line="360" w:lineRule="exact"/>
        <w:widowControl w:val="off"/>
        <w:rPr>
          <w:rFonts w:hint="eastAsia" w:eastAsia="宋体"/>
          <w:sz w:val="24"/>
          <w:szCs w:val="24"/>
          <w:highlight w:val="none"/>
          <w:lang w:val="en-US" w:eastAsia="zh-CN"/>
        </w:rPr>
      </w:pPr>
      <w:r>
        <w:rPr>
          <w:rFonts w:hint="eastAsia" w:ascii="宋体" w:hAnsi="宋体" w:eastAsia="宋体" w:cs="宋体"/>
          <w:color w:val="000000"/>
          <w:sz w:val="24"/>
          <w:szCs w:val="24"/>
          <w:highlight w:val="none"/>
        </w:rPr>
        <w:t xml:space="preserve">1.6履行方式：</w:t>
      </w:r>
      <w:r>
        <w:rPr>
          <w:rFonts w:hint="eastAsia" w:ascii="宋体" w:hAnsi="宋体" w:eastAsia="宋体" w:cs="宋体"/>
          <w:color w:val="000000"/>
          <w:sz w:val="24"/>
          <w:szCs w:val="24"/>
          <w:highlight w:val="none"/>
          <w:lang w:val="en-US" w:eastAsia="zh-CN"/>
        </w:rPr>
        <w:t xml:space="preserve">/</w:t>
      </w:r>
      <w:r/>
    </w:p>
    <w:p>
      <w:pPr>
        <w:pStyle w:val="708"/>
        <w:jc w:val="both"/>
        <w:keepLines w:val="0"/>
        <w:keepNext w:val="0"/>
        <w:pageBreakBefore w:val="0"/>
        <w:spacing w:before="120" w:beforeAutospacing="0" w:after="120" w:afterAutospacing="0" w:line="360" w:lineRule="exact"/>
        <w:widowControl w:val="off"/>
        <w:rPr>
          <w:rFonts w:hint="default" w:eastAsia="宋体"/>
          <w:sz w:val="24"/>
          <w:szCs w:val="24"/>
          <w:highlight w:val="none"/>
          <w:lang w:val="en-US" w:eastAsia="zh-CN"/>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lang w:val="en-US" w:eastAsia="zh-CN"/>
        </w:rPr>
        <w:t xml:space="preserve">及工作范围和内容</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2.1本合同金额为（大写）：____________________________________圆（_______________元）人民币或其他币种。该价格包括包</w:t>
      </w:r>
      <w:r>
        <w:rPr>
          <w:rFonts w:hint="eastAsia" w:ascii="宋体" w:hAnsi="宋体" w:eastAsia="宋体" w:cs="宋体"/>
          <w:color w:val="000000"/>
          <w:sz w:val="24"/>
          <w:szCs w:val="24"/>
          <w:highlight w:val="none"/>
          <w:lang w:val="en-US" w:eastAsia="zh-CN"/>
        </w:rPr>
        <w:t xml:space="preserve">含但不限于人工、食宿费、差旅费、安全措施费、数据整理、成果出具、纸张等耗材、后续服务、税金、合理利润等与完成本项目服务相关的所有费用。本合同为单价合同，最终结算根据实际完成的工作量据实结算。</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2.2工作范围</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住宅类房屋专项整治试点范围主要是2013年至2020年7月3日期间的存量乱占耕地建房住宅类房屋问题(占用耕地建设的、未取得合法合规用地手续或手续不全的住宅类房屋，含2013年之前已经建设但与2013年以来违违规建房行为有整体关联性的住宅类房屋)。</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2.3工作内容</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2.3.1 技术牵头、补充调查形成处置意见阶段</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（1）实施方案编制</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实际工作需求编制实施方案：实施方案应包括工作总体目标、试点范围、工作要求、具体处置政策（包含当地宅基地面积标准，现行宅基地“一户一宅”申请标准、宅基地分户条件和有偿使用要求及标准等）、时间安排、整治流程以及保障措施等内容。同时还需要协助编制风险应对预案等。</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（2）人员培训</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牵头部门、管理条线分管人员以及乡镇基层调查人员等相关人员开展培训，确保其掌握补充调查目标任务、工作原则、标准规范、平台操作及熟悉分类处置政策及法律法规，保障调查成果真实可信、整治合理公正、处置合法有效。</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（3）数据汇总共享</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协调自然资源、住房和城乡建设、农业农村等部门建立数据共享机制。汇总整理县域国土空间规划（土地利用总体规划)、村庄规划、第二次全国国土调查、第三次全国国土调查、三区三线划定、最新高清卫星影像、地籍调查、集体土地所有权登记、房地一体的宅基地使用权确权登记颁证、农村承包地确权登记颁证、农村集体资产清产核资、农村宅基地基础信息调查成果等相关数据资料，建立数据共享资源目录，形成共享数据资源包。</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（4）制作工作底图</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数据汇总共享的基础上，对任务图斑进行初步内业分析，主要结合行政区划界线、国土调查耕地地类图斑、基本农田范围线、国土空间规划等分析任务图斑数量、面积、分布情况，压占耕地情况，占用基本农田情况等，形成初步的数据分析报告，并以乡镇为基本单位制作工作底图。</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（5）外业测绘</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使用RTK、全站仪等专业测绘设备，外业实地测绘准确获取界址点位置，并计算宗地面积。详细划分主房、辅房、庭院等占地情况。为后期数据叠加分析提供准确的位置信息。</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（6）信息核实完善</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对下发的任务图斑摸排信息表的相关字段数据进行逐一核实、记录，到实地进行信息的确认完善。并拍摄房屋照片。</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（7）举证材料收集</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照县级分类处置政策的划分要求，梳理形成举证材料清单，协助村（居）委按需收集相关佐证材料，支撑分类处置“一户一策”的制定和整治工作实施，包含主体身份认定证明、户宅证明、承诺书、房屋来源及权属证明等材料。</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（8）图件编制</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根据外业测量结果，叠加基础数据，形成问题图斑示意图、勘测定界图、占耕地叠加分析图、占永久基本农田叠加分析图、“三区三线”划定叠加分析图、影像叠加图、特殊区域叠加分析图等专题图件成果。</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（9）形成处置意见</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根据现场调查及叠加分析数据成果，对照国家处置政策，逐宗开展图斑类型认定，确定图斑类型。针对整治类图斑，根据图斑具体情形，逐宗匹配处置政策，协同县、乡镇、村级共同召开研判会，出具处置意见。</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（10）数据汇总分析</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补充调查完成后，对问题图斑补充调查成果数据进行整理分析，梳理占用永久基本农田图以及特殊用地（重大工程、生态保护红线等）图斑分布、数量、面积，筛选甄别剔除类、整治类图斑信息，明确重点核查图斑（党员干部、城镇居民、超大面积等），统计需进行规划调整的图斑数量、面积，分析新增建设用地指标和耕地占补平衡指标需求等，形成专题台账报表。</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（11）一宗一档编制</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根据补充调查及数据分析成果，结合县级整治分类处置政策，对问题图斑进行初步分类。按照标准格式，为每一宗地编制住宅类房屋专项整治报告。整理汇总补充调查成果及分析报告，形成一宗一档。按照档案归档标准要求，打印装订档案材料。</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（12）材料上传</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将每宗图斑对应的补充调查信息表、公示材料、前后左右照片、各类举证材料、叠加分析图、处置方案等上传专项整治工作平台，并逐宗校对、复核相关数据成果，复核无误后，提交上级部门审核。对接上级部门跟踪审核进度，对退回的图斑按要求整改后再上传，直至审核通过。</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2.3.2整治实施阶段</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（1）辅助整治工作</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向农业农村部门提交任务图斑一户一档成果，根据市级审查通过的问题台账，对接相关职能部门，协助提供整治实施相关手续所需数据。</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（2）整治流程指导、培训、咨询</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组织开展县乡两级培训，针对一宗一策一码，提供每一个小类的整治工作流程指导。</w:t>
      </w:r>
      <w:r/>
    </w:p>
    <w:p>
      <w:pPr>
        <w:ind w:firstLine="480"/>
        <w:keepLines w:val="0"/>
        <w:keepNext w:val="0"/>
        <w:pageBreakBefore w:val="0"/>
        <w:spacing w:line="360" w:lineRule="exact"/>
        <w:widowControl w:val="off"/>
        <w:rPr>
          <w:rFonts w:hint="default"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农转用报批</w:t>
      </w:r>
      <w:r/>
    </w:p>
    <w:p>
      <w:pPr>
        <w:ind w:firstLine="480"/>
        <w:keepLines w:val="0"/>
        <w:keepNext w:val="0"/>
        <w:pageBreakBefore w:val="0"/>
        <w:spacing w:line="360" w:lineRule="exact"/>
        <w:widowControl w:val="off"/>
        <w:rPr>
          <w:rFonts w:hint="default"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协调自然资源部门收集农转用材料，进行组卷、审核，上报市政府。</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（4）整治成果审核上传</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审核乡镇提交的整治成果，符合政策要求的通过并上传至市、省两级。跟踪上级的审核进度，对退回的按照要求落实整改再上传，直至上级审核通过。</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2.3.3 其他事项</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完成采购单位交代的其他相关牵头事项等。</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2.4主要技术依据</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2.4.1 政策法规</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（1）《中华人民共和国土地管理法》（2019年修正版）；</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（2）《中央农村工作领导小组办公室、农业农村部关于进一步加强农村宅基地管理的通知》中农发〔2019〕11号；</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（3）《农业农村部关于积极稳妥开展农村闲置宅基地和闲置住宅盘活利用工作的通知》农经发〔2019〕4号；</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（4）《农业农村部、自然资源部关于规范农村宅基地审批管理的通知》</w:t>
      </w:r>
      <w:r>
        <w:rPr>
          <w:rFonts w:hint="eastAsia" w:asciiTheme="minorEastAsia" w:hAnsiTheme="minorEastAsia" w:eastAsiaTheme="minorEastAsia" w:cstheme="minorEastAsia"/>
          <w:b w:val="0"/>
          <w:bCs w:val="0"/>
          <w:color w:val="000000"/>
          <w:sz w:val="24"/>
          <w:szCs w:val="22"/>
          <w:highlight w:val="none"/>
          <w:lang w:val="en-US" w:eastAsia="zh-CN" w:bidi="ar-SA"/>
        </w:rPr>
        <w:tab/>
      </w:r>
      <w:r>
        <w:rPr>
          <w:rFonts w:hint="eastAsia" w:asciiTheme="minorEastAsia" w:hAnsiTheme="minorEastAsia" w:eastAsiaTheme="minorEastAsia" w:cstheme="minorEastAsia"/>
          <w:b w:val="0"/>
          <w:bCs w:val="0"/>
          <w:color w:val="000000"/>
          <w:sz w:val="24"/>
          <w:szCs w:val="22"/>
          <w:highlight w:val="none"/>
          <w:lang w:val="en-US" w:eastAsia="zh-CN" w:bidi="ar-SA"/>
        </w:rPr>
        <w:t xml:space="preserve">农经发〔2019〕6号；</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（5）《中央农村领导小组办公室、农业农村部关于贯彻深化农村宅基地制度改革试点电视电话会议精神、加强农村宅基地改革和管理基础工作的通知》中农发〔2020〕13号；</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（6）《自然资源部 农业农村部关于农村乱占耕地建房“八不准”的通知》（自然资发〔2020〕127号）；</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（7）《自然资源部 农业农村部关于保障农村村民住宅建设合理用地的通知》（自然资发〔2020〕128号）；</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（8）中办、国办《农村乱占耕地建房专项整治试点工作方案》（厅字〔2022〕18号）；</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（9）《农业农村部办公厅关于做好农村宅基地两项试点工作的通知》农办经〔2022〕18号）。</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2.4.2 标准规范</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（1）《土地利用现状分类》（GB/T21010‐2017）；</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（2）《房产测量规范 第1单元：房产测量规定》（GB/T17986.1‐2000）；</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（3）《国民经济行业分类》（GB/T 4754-2017）；</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（4）《地籍核查规程》（TD/T1001‐2012）；</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（5）《卫星定位城市测量技术标准》（CJJ/T73‐2019）；</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（6）《农村地籍和房屋核查技术方案（试行）》（国土资发〔2014〕101号）；</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（7）《不动产权籍核查技术方案（试行）》（国土资发〔2015〕41号）；</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（8）《农村不动产权籍核查工作指南》（自然资登记函〔2019〕6号）；</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（9）《不动产登记数据库标准（试行）》（国土资发〔2015〕103号）；</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（10）《全球定位系统实时动态测量（RTK）技术规范》（CH/T2009‐2010）；</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（11）《农村宅基地基础信息核查技术规程（试用）》；</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（12）《地籍调查规程》GB/T 42547-2023；</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（13）《中华人民共和国行政区划代码》GB2260—2007；</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（14）《国家基本比例尺地形图分幅和编号》GB/T13989—1992；</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（15）《1:5001:10001:2000地形图数字化规范》GB/T17160-1997；</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（16）《1:50001:10000地形图图式》GB/T5791—1993。</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yellow"/>
          <w:lang w:val="en-US" w:eastAsia="zh-CN" w:bidi="ar-SA"/>
        </w:rPr>
      </w:pPr>
      <w:r>
        <w:rPr>
          <w:rFonts w:hint="eastAsia" w:asciiTheme="minorEastAsia" w:hAnsiTheme="minorEastAsia" w:eastAsiaTheme="minorEastAsia" w:cstheme="minorEastAsia"/>
          <w:b w:val="0"/>
          <w:bCs w:val="0"/>
          <w:color w:val="000000"/>
          <w:sz w:val="24"/>
          <w:szCs w:val="22"/>
          <w:highlight w:val="yellow"/>
          <w:lang w:val="en-US" w:eastAsia="zh-CN" w:bidi="ar-SA"/>
        </w:rPr>
        <w:t xml:space="preserve">2.5售后服务</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yellow"/>
          <w:lang w:val="en-US" w:eastAsia="zh-CN" w:bidi="ar-SA"/>
        </w:rPr>
      </w:pPr>
      <w:r>
        <w:rPr>
          <w:rFonts w:hint="eastAsia" w:asciiTheme="minorEastAsia" w:hAnsiTheme="minorEastAsia" w:eastAsiaTheme="minorEastAsia" w:cstheme="minorEastAsia"/>
          <w:b w:val="0"/>
          <w:bCs w:val="0"/>
          <w:color w:val="000000"/>
          <w:sz w:val="24"/>
          <w:szCs w:val="22"/>
          <w:highlight w:val="yellow"/>
          <w:lang w:val="en-US" w:eastAsia="zh-CN" w:bidi="ar-SA"/>
        </w:rPr>
        <w:t xml:space="preserve">对甲方提出的图斑信息查询、证明材料补充、后续政策适配咨询等需求，1小时内响应、24小时内反馈处理结果；同时，妥善保管图斑调查全套资料及验收文件，建立动态管理台账，确保图斑调查成果的准确性、完整性及长效可用性。</w:t>
      </w:r>
      <w:r/>
    </w:p>
    <w:p>
      <w:pPr>
        <w:pStyle w:val="708"/>
        <w:jc w:val="both"/>
        <w:keepLines w:val="0"/>
        <w:keepNext w:val="0"/>
        <w:pageBreakBefore w:val="0"/>
        <w:spacing w:before="120" w:beforeAutospacing="0" w:after="120" w:afterAutospacing="0" w:line="360" w:lineRule="exact"/>
        <w:widowControl w:val="off"/>
        <w:rPr>
          <w:rFonts w:hint="default" w:eastAsia="宋体"/>
          <w:sz w:val="24"/>
          <w:szCs w:val="24"/>
          <w:highlight w:val="none"/>
          <w:lang w:val="en-US" w:eastAsia="zh-CN"/>
        </w:rPr>
      </w:pPr>
      <w:r>
        <w:rPr>
          <w:rFonts w:hint="eastAsia" w:ascii="宋体" w:hAnsi="宋体" w:eastAsia="宋体" w:cs="宋体"/>
          <w:b/>
          <w:color w:val="000000"/>
          <w:sz w:val="24"/>
          <w:szCs w:val="24"/>
          <w:highlight w:val="none"/>
        </w:rPr>
        <w:t xml:space="preserve">三、技术资料</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3.1乙方应按招标文件规定的时间向甲方提供服务（包含与服务相关的货物）的有关技术资料。</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08"/>
        <w:ind w:left="412" w:hanging="412"/>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08"/>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708"/>
        <w:ind w:firstLine="480"/>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708"/>
        <w:ind w:left="410" w:hanging="410"/>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708"/>
        <w:ind w:firstLine="480"/>
        <w:jc w:val="both"/>
        <w:keepLines w:val="0"/>
        <w:keepNext w:val="0"/>
        <w:pageBreakBefore w:val="0"/>
        <w:spacing w:before="120" w:beforeAutospacing="0" w:after="120" w:afterAutospacing="0" w:line="36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合同金额的10%即          </w:t>
      </w:r>
      <w:r>
        <w:rPr>
          <w:rFonts w:hint="eastAsia" w:ascii="宋体" w:hAnsi="宋体" w:eastAsia="宋体" w:cs="宋体"/>
          <w:color w:val="000000"/>
          <w:sz w:val="24"/>
          <w:szCs w:val="24"/>
          <w:highlight w:val="none"/>
        </w:rPr>
        <w:t xml:space="preserve">元作为本合同的履约保证金。</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08"/>
        <w:ind w:firstLine="480"/>
        <w:jc w:val="both"/>
        <w:keepLines w:val="0"/>
        <w:keepNext w:val="0"/>
        <w:pageBreakBefore w:val="0"/>
        <w:spacing w:before="120" w:beforeAutospacing="0" w:after="120" w:afterAutospacing="0" w:line="36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08"/>
        <w:jc w:val="both"/>
        <w:keepLines w:val="0"/>
        <w:keepNext w:val="0"/>
        <w:pageBreakBefore w:val="0"/>
        <w:spacing w:before="145" w:beforeAutospacing="0" w:after="145"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7.1乙方不得将合同标的转包给他人履行。</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7.2乙方不得将合同标的分包给他人履行。</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7.3乙方如有转包或未经甲方同意的分包行为，甲方有权解除合同。</w:t>
      </w:r>
      <w:r/>
    </w:p>
    <w:p>
      <w:pPr>
        <w:pStyle w:val="708"/>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708"/>
        <w:ind w:firstLine="480"/>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708"/>
        <w:ind w:firstLine="480"/>
        <w:jc w:val="both"/>
        <w:keepLines w:val="0"/>
        <w:keepNext w:val="0"/>
        <w:pageBreakBefore w:val="0"/>
        <w:spacing w:before="120" w:beforeAutospacing="0" w:after="120" w:afterAutospacing="0" w:line="360" w:lineRule="exact"/>
        <w:widowControl w:val="off"/>
        <w:rPr>
          <w:rFonts w:hint="eastAsia" w:eastAsia="宋体"/>
          <w:sz w:val="24"/>
          <w:szCs w:val="24"/>
          <w:highlight w:val="none"/>
          <w:u w:val="none"/>
          <w:lang w:eastAsia="zh-CN"/>
        </w:rPr>
      </w:pPr>
      <w:r>
        <w:rPr>
          <w:rFonts w:hint="eastAsia" w:ascii="宋体" w:hAnsi="宋体" w:eastAsia="宋体" w:cs="宋体"/>
          <w:color w:val="000000"/>
          <w:sz w:val="24"/>
          <w:szCs w:val="24"/>
          <w:highlight w:val="none"/>
          <w:u w:val="none"/>
        </w:rPr>
        <w:t xml:space="preserve">8.1.1 预付款</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none"/>
        </w:rPr>
        <w:t xml:space="preserve">支付时间：合</w:t>
      </w:r>
      <w:r>
        <w:rPr>
          <w:rFonts w:hint="eastAsia" w:ascii="宋体" w:hAnsi="宋体" w:eastAsia="宋体" w:cs="宋体"/>
          <w:color w:val="000000"/>
          <w:sz w:val="24"/>
          <w:szCs w:val="24"/>
          <w:highlight w:val="none"/>
        </w:rPr>
        <w:t xml:space="preserve">同签订后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采购人收到</w:t>
      </w:r>
      <w:r>
        <w:rPr>
          <w:rFonts w:hint="eastAsia" w:ascii="宋体" w:hAnsi="宋体" w:eastAsia="宋体" w:cs="宋体"/>
          <w:color w:val="000000"/>
          <w:sz w:val="24"/>
          <w:szCs w:val="24"/>
          <w:highlight w:val="none"/>
          <w:lang w:eastAsia="zh-CN"/>
        </w:rPr>
        <w:t xml:space="preserve">预付款</w:t>
      </w:r>
      <w:r>
        <w:rPr>
          <w:rFonts w:hint="eastAsia" w:ascii="宋体" w:hAnsi="宋体" w:eastAsia="宋体" w:cs="宋体"/>
          <w:color w:val="000000"/>
          <w:sz w:val="24"/>
          <w:szCs w:val="24"/>
          <w:highlight w:val="none"/>
        </w:rPr>
        <w:t xml:space="preserve">发票后</w:t>
      </w:r>
      <w:r>
        <w:rPr>
          <w:rFonts w:hint="eastAsia" w:ascii="宋体" w:hAnsi="宋体" w:eastAsia="宋体" w:cs="宋体"/>
          <w:color w:val="000000"/>
          <w:sz w:val="24"/>
          <w:szCs w:val="24"/>
          <w:highlight w:val="none"/>
          <w:lang w:val="en-US" w:eastAsia="zh-CN"/>
        </w:rPr>
        <w:t xml:space="preserve">支付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rPr>
        <w:t xml:space="preserve">预付款支付比例：合同金额的</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val="en-US" w:eastAsia="zh-CN"/>
        </w:rPr>
        <w:t xml:space="preserve">注：在签订合同时，供应商明确表示无需预付款或者主动要求降低预付款比例的，采购人可不适用前述规定</w:t>
      </w:r>
      <w:r>
        <w:rPr>
          <w:rFonts w:hint="eastAsia" w:ascii="宋体" w:hAnsi="宋体" w:eastAsia="宋体" w:cs="宋体"/>
          <w:color w:val="000000"/>
          <w:sz w:val="24"/>
          <w:szCs w:val="24"/>
          <w:highlight w:val="none"/>
          <w:u w:val="none"/>
          <w:lang w:eastAsia="zh-CN"/>
        </w:rPr>
        <w:t xml:space="preserve">）</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8.1.2 尾款</w:t>
      </w:r>
      <w:r>
        <w:rPr>
          <w:rFonts w:hint="eastAsia" w:ascii="宋体" w:hAnsi="宋体" w:eastAsia="宋体" w:cs="宋体"/>
          <w:color w:val="000000"/>
          <w:sz w:val="24"/>
          <w:szCs w:val="24"/>
          <w:highlight w:val="none"/>
          <w:u w:val="none"/>
          <w:lang w:val="en-US" w:eastAsia="zh-CN"/>
        </w:rPr>
        <w:t xml:space="preserve">：每处问题图斑出具整治验收意见表并上传工作平台后，若出现市级核查验收未通过情况，结算时则扣除该宗问题图斑对应的中标价的50%；若出现省级核查验收未通过情况，结算时则扣除该宗问题图斑对应的中标价的100%；2027年12月31日前全部问题图斑完成销号且逐宗按照档案管理要求，编制“一宗一档”，经甲方确认且项目验收通过后支付到合同总额的100%，同时扣除因省市级验收未通过而应扣除的对应宗数的金额。</w:t>
      </w:r>
      <w:r/>
    </w:p>
    <w:p>
      <w:pPr>
        <w:pStyle w:val="708"/>
        <w:jc w:val="both"/>
        <w:keepLines w:val="0"/>
        <w:keepNext w:val="0"/>
        <w:pageBreakBefore w:val="0"/>
        <w:spacing w:before="145" w:beforeAutospacing="0" w:after="145"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708"/>
        <w:ind w:firstLine="480"/>
        <w:jc w:val="both"/>
        <w:keepLines w:val="0"/>
        <w:keepNext w:val="0"/>
        <w:pageBreakBefore w:val="0"/>
        <w:spacing w:before="145" w:beforeAutospacing="0" w:after="145"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708"/>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708"/>
        <w:ind w:left="0" w:firstLine="482"/>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pStyle w:val="708"/>
        <w:ind w:left="0" w:firstLine="482"/>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8"/>
        <w:ind w:left="0" w:firstLine="482"/>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708"/>
        <w:ind w:left="0" w:firstLine="482"/>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708"/>
        <w:ind w:left="0" w:firstLine="482"/>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08"/>
        <w:ind w:left="0" w:firstLine="482"/>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keepLines w:val="0"/>
        <w:keepNext w:val="0"/>
        <w:pageBreakBefore w:val="0"/>
        <w:spacing w:line="24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十一</w:t>
      </w:r>
      <w:r>
        <w:rPr>
          <w:rFonts w:hint="eastAsia" w:ascii="宋体" w:hAnsi="宋体" w:eastAsia="宋体" w:cs="宋体"/>
          <w:b/>
          <w:bCs/>
          <w:color w:val="auto"/>
          <w:sz w:val="24"/>
          <w:highlight w:val="none"/>
        </w:rPr>
        <w:t xml:space="preserve">、保密要求</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11.1乙方</w:t>
      </w:r>
      <w:r>
        <w:rPr>
          <w:rFonts w:hint="eastAsia" w:ascii="宋体" w:hAnsi="宋体" w:eastAsia="宋体" w:cs="宋体"/>
          <w:color w:val="000000" w:themeColor="text1"/>
          <w:sz w:val="24"/>
          <w:szCs w:val="24"/>
          <w:highlight w:val="none"/>
          <w14:textFill>
            <w14:solidFill>
              <w14:schemeClr w14:val="tx1"/>
            </w14:solidFill>
          </w14:textFill>
        </w:rPr>
        <w:t xml:space="preserve">须建立严格的保密制度，并加强对工作人员的保密管理及保密知识教育及培训。</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11.2乙方</w:t>
      </w:r>
      <w:r>
        <w:rPr>
          <w:rFonts w:hint="eastAsia" w:ascii="宋体" w:hAnsi="宋体" w:eastAsia="宋体" w:cs="宋体"/>
          <w:color w:val="000000" w:themeColor="text1"/>
          <w:sz w:val="24"/>
          <w:szCs w:val="24"/>
          <w:highlight w:val="none"/>
          <w14:textFill>
            <w14:solidFill>
              <w14:schemeClr w14:val="tx1"/>
            </w14:solidFill>
          </w14:textFill>
        </w:rPr>
        <w:t xml:space="preserve">须承担与此有关的技术情报和数据资料的保密责任。与本项目有关的资料及数据成果中涉及国家秘密的内容，均要求严格遵守《中华人民共和国测绘法》《中华人民共和国测绘成果管理条例》和国家保密法律法规的规定，切实做好涉密测绘成果的保密工作（如有最新规定文件，均按最新文件执行）。</w:t>
      </w:r>
      <w:r/>
    </w:p>
    <w:p>
      <w:pPr>
        <w:pStyle w:val="708"/>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、违约责任</w:t>
      </w:r>
      <w:r/>
    </w:p>
    <w:p>
      <w:pPr>
        <w:pStyle w:val="708"/>
        <w:ind w:left="0" w:firstLine="482"/>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12.1甲方无正当理由拒绝接受乙方提供服务的，甲方向乙方偿付拒绝接受服务合同价款总值</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lang w:val="en-US" w:eastAsia="zh-CN"/>
        </w:rPr>
        <w:t xml:space="preserve">的违约金。</w:t>
      </w:r>
      <w:r/>
    </w:p>
    <w:p>
      <w:pPr>
        <w:pStyle w:val="708"/>
        <w:ind w:left="0" w:firstLine="482"/>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12.2甲方无故逾期验收和办理合同款项支付手续的,甲方应按逾期付款总额</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lang w:val="en-US" w:eastAsia="zh-CN"/>
        </w:rPr>
        <w:t xml:space="preserve">每日向乙方支付违约金。</w:t>
      </w:r>
      <w:r/>
    </w:p>
    <w:p>
      <w:pPr>
        <w:pStyle w:val="708"/>
        <w:ind w:left="0" w:firstLine="482"/>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12.3乙方逾期提供服务的，延迟按</w:t>
      </w:r>
      <w:r>
        <w:rPr>
          <w:rFonts w:hint="eastAsia" w:ascii="宋体" w:hAnsi="宋体" w:eastAsia="宋体" w:cs="宋体"/>
          <w:color w:val="000000"/>
          <w:sz w:val="24"/>
          <w:szCs w:val="24"/>
          <w:highlight w:val="none"/>
          <w:u w:val="single"/>
          <w:lang w:val="en-US" w:eastAsia="zh-CN"/>
        </w:rPr>
        <w:t xml:space="preserve">200元/天</w:t>
      </w:r>
      <w:r>
        <w:rPr>
          <w:rFonts w:hint="eastAsia" w:ascii="宋体" w:hAnsi="宋体" w:eastAsia="宋体" w:cs="宋体"/>
          <w:color w:val="000000"/>
          <w:sz w:val="24"/>
          <w:szCs w:val="24"/>
          <w:highlight w:val="none"/>
          <w:lang w:val="en-US" w:eastAsia="zh-CN"/>
        </w:rPr>
        <w:t xml:space="preserve">罚款，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w:t>
      </w:r>
      <w:r/>
    </w:p>
    <w:p>
      <w:pPr>
        <w:pStyle w:val="708"/>
        <w:ind w:left="0" w:firstLine="482"/>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12.4乙方所提供服务的标准不符合合同规定及磋商文件规定标准的，甲方有权拒绝接受服务，并可单方面解除合同。</w:t>
      </w:r>
      <w:r/>
    </w:p>
    <w:p>
      <w:pPr>
        <w:pStyle w:val="708"/>
        <w:ind w:left="0" w:firstLine="482"/>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12.5乙方承诺的常驻镇区工作人员不得随意更换，如需更换需经甲方同意，如不经甲方同意私自更换，罚款</w:t>
      </w:r>
      <w:r>
        <w:rPr>
          <w:rFonts w:hint="eastAsia" w:ascii="宋体" w:hAnsi="宋体" w:eastAsia="宋体" w:cs="宋体"/>
          <w:color w:val="000000"/>
          <w:sz w:val="24"/>
          <w:szCs w:val="24"/>
          <w:highlight w:val="none"/>
          <w:u w:val="single"/>
          <w:lang w:val="en-US" w:eastAsia="zh-CN"/>
        </w:rPr>
        <w:t xml:space="preserve">200元/人/天</w:t>
      </w:r>
      <w:r>
        <w:rPr>
          <w:rFonts w:hint="eastAsia" w:ascii="宋体" w:hAnsi="宋体" w:eastAsia="宋体" w:cs="宋体"/>
          <w:color w:val="000000"/>
          <w:sz w:val="24"/>
          <w:szCs w:val="24"/>
          <w:highlight w:val="none"/>
          <w:lang w:val="en-US" w:eastAsia="zh-CN"/>
        </w:rPr>
        <w:t xml:space="preserve">；常驻工作人员工作日不在岗，罚款</w:t>
      </w:r>
      <w:r>
        <w:rPr>
          <w:rFonts w:hint="eastAsia" w:ascii="宋体" w:hAnsi="宋体" w:eastAsia="宋体" w:cs="宋体"/>
          <w:color w:val="000000"/>
          <w:sz w:val="24"/>
          <w:szCs w:val="24"/>
          <w:highlight w:val="none"/>
          <w:u w:val="single"/>
          <w:lang w:val="en-US" w:eastAsia="zh-CN"/>
        </w:rPr>
        <w:t xml:space="preserve">200元/人/天</w:t>
      </w:r>
      <w:r>
        <w:rPr>
          <w:rFonts w:hint="eastAsia" w:ascii="宋体" w:hAnsi="宋体" w:eastAsia="宋体" w:cs="宋体"/>
          <w:color w:val="000000"/>
          <w:sz w:val="24"/>
          <w:szCs w:val="24"/>
          <w:highlight w:val="none"/>
          <w:lang w:val="en-US" w:eastAsia="zh-CN"/>
        </w:rPr>
        <w:t xml:space="preserve">；多次发现且拒不整改且给甲方项目推进造成影响的，甲方有权单方面解除合同。</w:t>
      </w:r>
      <w:r/>
    </w:p>
    <w:p>
      <w:pPr>
        <w:pStyle w:val="708"/>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、不可抗力事件处理</w:t>
      </w:r>
      <w:r/>
    </w:p>
    <w:p>
      <w:pPr>
        <w:pStyle w:val="708"/>
        <w:ind w:firstLine="480"/>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.1在合同有效期内，任何一方因不可抗力事件导致不能履行合同，则合同履行期可延长，其延长期与不可抗力影响期相同。</w:t>
      </w:r>
      <w:r/>
    </w:p>
    <w:p>
      <w:pPr>
        <w:pStyle w:val="708"/>
        <w:ind w:firstLine="480"/>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.2不可抗力事件发生后，应立即通知对方，并寄送有关权威机构出具的证明。</w:t>
      </w:r>
      <w:r/>
    </w:p>
    <w:p>
      <w:pPr>
        <w:pStyle w:val="708"/>
        <w:ind w:firstLine="480"/>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.3不可抗力事件延续120天以上，双方应通过友好协商，确定是否继续履行合同。</w:t>
      </w:r>
      <w:r/>
    </w:p>
    <w:p>
      <w:pPr>
        <w:pStyle w:val="708"/>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、解决争议的方法</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pStyle w:val="708"/>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本合同未尽事宜，遵照《民法典》、《政府采购法》有关条文执行。</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本合同正本一式两份，具有同等法律效力，甲方、乙方各执一份。</w:t>
      </w:r>
      <w:r/>
    </w:p>
    <w:p>
      <w:pPr>
        <w:pStyle w:val="708"/>
        <w:ind w:left="480" w:hanging="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8"/>
        <w:ind w:left="480" w:hanging="480"/>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甲方：               乙方： </w:t>
      </w:r>
      <w:r/>
    </w:p>
    <w:p>
      <w:pPr>
        <w:pStyle w:val="708"/>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地址：               地址： </w:t>
      </w:r>
      <w:r/>
    </w:p>
    <w:p>
      <w:pPr>
        <w:pStyle w:val="708"/>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法定代表人或授权代表：       法定代表人或授权代表：</w:t>
      </w:r>
      <w:r/>
    </w:p>
    <w:p>
      <w:pPr>
        <w:pStyle w:val="708"/>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w:t>
      </w:r>
      <w:r/>
    </w:p>
    <w:p>
      <w:pPr>
        <w:pStyle w:val="708"/>
        <w:jc w:val="center"/>
        <w:keepLines w:val="0"/>
        <w:keepNext w:val="0"/>
        <w:pageBreakBefore w:val="0"/>
        <w:spacing w:before="120" w:beforeAutospacing="0" w:after="120" w:afterAutospacing="0" w:line="360" w:lineRule="exact"/>
        <w:widowControl w:val="off"/>
        <w:rPr>
          <w:rStyle w:val="869"/>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签订日期：      年    月   日</w:t>
      </w:r>
      <w:bookmarkStart w:id="144" w:name="_Toc479757211"/>
      <w:r/>
      <w:bookmarkStart w:id="145" w:name="_Toc16938590"/>
      <w:r/>
      <w:bookmarkStart w:id="146" w:name="_Hlt16619350"/>
      <w:r/>
      <w:bookmarkStart w:id="147" w:name="_Toc462564139"/>
      <w:r/>
      <w:bookmarkStart w:id="148" w:name="_Toc120614244"/>
      <w:r/>
      <w:bookmarkStart w:id="149" w:name="_Toc20823346"/>
      <w:r/>
      <w:bookmarkStart w:id="150" w:name="_Hlt16619369"/>
      <w:r>
        <w:rPr>
          <w:rFonts w:hint="eastAsia" w:ascii="黑体" w:hAnsi="宋体" w:eastAsia="黑体" w:cs="黑体"/>
          <w:color w:val="000000"/>
          <w:sz w:val="24"/>
          <w:szCs w:val="24"/>
          <w:highlight w:val="none"/>
        </w:rPr>
        <w:br w:type="page" w:clear="all"/>
      </w:r>
      <w:r>
        <w:rPr>
          <w:rStyle w:val="869"/>
          <w:rFonts w:hint="eastAsia"/>
        </w:rPr>
        <w:t xml:space="preserve">第</w:t>
      </w:r>
      <w:bookmarkEnd w:id="144"/>
      <w:r>
        <w:rPr>
          <w:rStyle w:val="869"/>
          <w:rFonts w:hint="eastAsia"/>
        </w:rPr>
        <w:t xml:space="preserve">四章</w:t>
      </w:r>
      <w:r>
        <w:rPr>
          <w:rStyle w:val="869"/>
          <w:rFonts w:hint="eastAsia"/>
          <w:lang w:val="en-US" w:eastAsia="zh-CN"/>
        </w:rPr>
        <w:t xml:space="preserve">  </w:t>
      </w:r>
      <w:r>
        <w:rPr>
          <w:rStyle w:val="869"/>
          <w:rFonts w:hint="eastAsia"/>
        </w:rPr>
        <w:t xml:space="preserve">采购需求</w:t>
      </w:r>
      <w:bookmarkEnd w:id="145"/>
      <w:r/>
      <w:bookmarkEnd w:id="146"/>
      <w:r/>
      <w:bookmarkEnd w:id="147"/>
      <w:r/>
      <w:bookmarkEnd w:id="148"/>
      <w:r/>
      <w:bookmarkEnd w:id="149"/>
      <w:r/>
      <w:r/>
    </w:p>
    <w:p>
      <w:pPr>
        <w:pStyle w:val="708"/>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bookmarkStart w:id="151" w:name="_Toc49090575"/>
      <w:r/>
      <w:bookmarkStart w:id="152" w:name="_Toc26554093"/>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lang w:val="en-US" w:eastAsia="zh-CN"/>
        </w:rPr>
        <w:t xml:space="preserve">（此为固定内容）</w:t>
      </w:r>
      <w:bookmarkEnd w:id="151"/>
      <w:r/>
      <w:bookmarkEnd w:id="152"/>
      <w:r/>
      <w:r/>
    </w:p>
    <w:p>
      <w:pPr>
        <w:pStyle w:val="863"/>
        <w:ind w:firstLine="482"/>
        <w:keepLines w:val="0"/>
        <w:keepNext w:val="0"/>
        <w:pageBreakBefore w:val="0"/>
        <w:spacing w:line="360" w:lineRule="exact"/>
        <w:widowControl w:val="off"/>
        <w:rPr>
          <w:rFonts w:hint="eastAsia" w:cs="Times New Roman"/>
          <w:b/>
          <w:bCs/>
          <w:color w:val="000000"/>
          <w:sz w:val="24"/>
          <w:szCs w:val="22"/>
          <w:highlight w:val="none"/>
          <w:lang w:val="en-US" w:eastAsia="zh-CN" w:bidi="ar-SA"/>
        </w:rPr>
        <w:outlineLvl w:val="2"/>
      </w:pPr>
      <w:r>
        <w:rPr>
          <w:rFonts w:hint="eastAsia" w:cs="Times New Roman"/>
          <w:b/>
          <w:bCs/>
          <w:color w:val="000000"/>
          <w:sz w:val="24"/>
          <w:szCs w:val="22"/>
          <w:highlight w:val="none"/>
          <w:lang w:val="en-US" w:eastAsia="zh-CN" w:bidi="ar-SA"/>
        </w:rPr>
        <w:t xml:space="preserve">一、项目背景</w:t>
      </w:r>
      <w:r/>
    </w:p>
    <w:p>
      <w:pPr>
        <w:pStyle w:val="863"/>
        <w:ind w:firstLine="480"/>
        <w:keepLines w:val="0"/>
        <w:keepNext w:val="0"/>
        <w:pageBreakBefore w:val="0"/>
        <w:spacing w:line="360" w:lineRule="exact"/>
        <w:widowControl w:val="off"/>
        <w:rPr>
          <w:rFonts w:hint="eastAsia" w:cs="Times New Roman"/>
          <w:b w:val="0"/>
          <w:bCs w:val="0"/>
          <w:color w:val="000000"/>
          <w:sz w:val="24"/>
          <w:szCs w:val="22"/>
          <w:highlight w:val="none"/>
          <w:lang w:val="en-US" w:eastAsia="zh-CN" w:bidi="ar-SA"/>
        </w:rPr>
        <w:outlineLvl w:val="2"/>
      </w:pPr>
      <w:r>
        <w:rPr>
          <w:rFonts w:hint="eastAsia" w:cs="Times New Roman"/>
          <w:b w:val="0"/>
          <w:bCs w:val="0"/>
          <w:color w:val="000000"/>
          <w:sz w:val="24"/>
          <w:szCs w:val="22"/>
          <w:highlight w:val="none"/>
          <w:lang w:val="en-US" w:eastAsia="zh-CN" w:bidi="ar-SA"/>
        </w:rPr>
        <w:t xml:space="preserve">2020年7月3日，国务院召开农村乱占耕地建房问题整治工作电视电话会议，深入学习贯彻习近平总书记重要指示精神，贯彻落实党中央、国务院决策部署，对农村乱占耕地建房问题整治工作作出安排。2022年3月29日，中共中央办公厅、国务院办公厅印发《农村乱占耕地建房专项整治试点工作方案》,部署专项整治试点工作。2024年9月，江苏省专办印发《关于做好全省乱占耕地建房非住宅类房屋专项整治试点后续工作的通知》，为完成国家、省、市下发图斑的排摸审核、问题图斑整改督促等工作，现决</w:t>
      </w:r>
      <w:r>
        <w:rPr>
          <w:rFonts w:hint="eastAsia" w:ascii="宋体" w:cs="Times New Roman"/>
          <w:b w:val="0"/>
          <w:bCs w:val="0"/>
          <w:color w:val="000000"/>
          <w:sz w:val="24"/>
          <w:szCs w:val="22"/>
          <w:highlight w:val="none"/>
          <w:lang w:val="en-US" w:eastAsia="zh-CN" w:bidi="ar-SA"/>
        </w:rPr>
        <w:t xml:space="preserve">定开展东台市农村乱占耕地</w:t>
      </w:r>
      <w:r>
        <w:rPr>
          <w:rFonts w:hint="eastAsia" w:cs="Times New Roman"/>
          <w:b w:val="0"/>
          <w:bCs w:val="0"/>
          <w:color w:val="000000"/>
          <w:sz w:val="24"/>
          <w:szCs w:val="22"/>
          <w:highlight w:val="none"/>
          <w:lang w:val="en-US" w:eastAsia="zh-CN" w:bidi="ar-SA"/>
        </w:rPr>
        <w:t xml:space="preserve">建房住宅类房屋专项整治项目。</w:t>
      </w:r>
      <w:r/>
    </w:p>
    <w:p>
      <w:pPr>
        <w:pStyle w:val="863"/>
        <w:ind w:firstLine="482"/>
        <w:keepLines w:val="0"/>
        <w:keepNext w:val="0"/>
        <w:pageBreakBefore w:val="0"/>
        <w:spacing w:line="360" w:lineRule="exact"/>
        <w:widowControl w:val="off"/>
        <w:rPr>
          <w:rFonts w:hint="eastAsia" w:cs="Times New Roman"/>
          <w:b/>
          <w:bCs/>
          <w:color w:val="000000"/>
          <w:sz w:val="24"/>
          <w:szCs w:val="22"/>
          <w:highlight w:val="none"/>
          <w:lang w:val="en-US" w:eastAsia="zh-CN" w:bidi="ar-SA"/>
        </w:rPr>
        <w:outlineLvl w:val="2"/>
      </w:pPr>
      <w:r>
        <w:rPr>
          <w:rFonts w:hint="eastAsia" w:cs="Times New Roman"/>
          <w:b/>
          <w:bCs/>
          <w:color w:val="000000"/>
          <w:sz w:val="24"/>
          <w:szCs w:val="22"/>
          <w:highlight w:val="none"/>
          <w:lang w:val="en-US" w:eastAsia="zh-CN" w:bidi="ar-SA"/>
        </w:rPr>
        <w:t xml:space="preserve">二、工作范围</w:t>
      </w:r>
      <w:r/>
    </w:p>
    <w:p>
      <w:pPr>
        <w:pStyle w:val="863"/>
        <w:ind w:firstLine="480"/>
        <w:keepLines w:val="0"/>
        <w:keepNext w:val="0"/>
        <w:pageBreakBefore w:val="0"/>
        <w:spacing w:line="360" w:lineRule="exact"/>
        <w:widowControl w:val="off"/>
        <w:rPr>
          <w:rFonts w:hint="eastAsia" w:cs="Times New Roman"/>
          <w:b w:val="0"/>
          <w:bCs w:val="0"/>
          <w:color w:val="000000"/>
          <w:sz w:val="24"/>
          <w:szCs w:val="22"/>
          <w:highlight w:val="none"/>
          <w:lang w:val="en-US" w:eastAsia="zh-CN" w:bidi="ar-SA"/>
        </w:rPr>
        <w:outlineLvl w:val="2"/>
      </w:pPr>
      <w:r>
        <w:rPr>
          <w:rFonts w:hint="eastAsia" w:cs="Times New Roman"/>
          <w:b w:val="0"/>
          <w:bCs w:val="0"/>
          <w:color w:val="000000"/>
          <w:sz w:val="24"/>
          <w:szCs w:val="22"/>
          <w:highlight w:val="none"/>
          <w:lang w:val="en-US" w:eastAsia="zh-CN" w:bidi="ar-SA"/>
        </w:rPr>
        <w:t xml:space="preserve">本次住宅类房屋专项整治试点范围主要是2013年至2020年7月3日期间的存量乱占耕地建房住宅类房屋问题(占用耕地建设的、未取得合法合规用地手续或手续不全的住宅类房屋，含2013年之前已经建设但与2013年以来违违规建房行为有整体关联性的住宅类房屋)。</w:t>
      </w:r>
      <w:r/>
    </w:p>
    <w:p>
      <w:pPr>
        <w:pStyle w:val="708"/>
        <w:ind w:left="410" w:hanging="410"/>
        <w:jc w:val="center"/>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东台市住宅类房屋专项整治标段分布</w:t>
      </w:r>
      <w:r/>
    </w:p>
    <w:tbl>
      <w:tblPr>
        <w:tblStyle w:val="685"/>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2776"/>
        <w:gridCol w:w="2777"/>
        <w:gridCol w:w="2780"/>
      </w:tblGrid>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lang w:val="en-US" w:eastAsia="zh-CN"/>
              </w:rPr>
              <w:t xml:space="preserve">镇区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lang w:val="en-US" w:eastAsia="zh-CN"/>
              </w:rPr>
              <w:t xml:space="preserve">数量（宗）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7" w:type="pct"/>
            <w:vAlign w:val="center"/>
            <w:textDirection w:val="lrTb"/>
            <w:noWrap w:val="false"/>
          </w:tcPr>
          <w:p>
            <w:pPr>
              <w:jc w:val="center"/>
              <w:rPr>
                <w:rFonts w:hint="eastAsia"/>
                <w:lang w:val="en-US" w:eastAsia="zh-CN"/>
              </w:rPr>
            </w:pPr>
            <w:r>
              <w:rPr>
                <w:rFonts w:hint="eastAsia"/>
                <w:lang w:val="en-US" w:eastAsia="zh-CN"/>
              </w:rPr>
              <w:t xml:space="preserve">合计（宗）</w:t>
            </w:r>
            <w:r/>
          </w:p>
        </w:tc>
      </w:tr>
      <w:tr>
        <w:trPr>
          <w:trHeight w:val="340" w:hRule="exact"/>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000" w:type="pct"/>
            <w:vAlign w:val="center"/>
            <w:textDirection w:val="lrTb"/>
            <w:noWrap w:val="false"/>
          </w:tcPr>
          <w:p>
            <w:pPr>
              <w:jc w:val="center"/>
              <w:rPr>
                <w:rFonts w:hint="eastAsia"/>
                <w:lang w:val="en-US" w:eastAsia="zh-CN"/>
              </w:rPr>
            </w:pPr>
            <w:r>
              <w:rPr>
                <w:rFonts w:hint="eastAsia"/>
                <w:lang w:val="en-US" w:eastAsia="zh-CN"/>
              </w:rPr>
              <w:t xml:space="preserve">采购包一</w:t>
            </w:r>
            <w:r/>
          </w:p>
        </w:tc>
      </w:tr>
      <w:tr>
        <w:trPr>
          <w:trHeight w:val="340"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lang w:val="en-US" w:eastAsia="zh-CN"/>
              </w:rPr>
              <w:t xml:space="preserve">东台镇</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lang w:val="en-US" w:eastAsia="zh-CN"/>
              </w:rPr>
              <w:t xml:space="preserve">1869</w:t>
            </w:r>
            <w:r/>
          </w:p>
        </w:tc>
        <w:tc>
          <w:tcPr>
            <w:tcBorders>
              <w:top w:val="single" w:color="auto" w:sz="4" w:space="0"/>
              <w:left w:val="single" w:color="auto" w:sz="4" w:space="0"/>
              <w:right w:val="single" w:color="auto" w:sz="4" w:space="0"/>
            </w:tcBorders>
            <w:tcMar>
              <w:left w:w="15" w:type="dxa"/>
              <w:top w:w="15" w:type="dxa"/>
              <w:right w:w="15" w:type="dxa"/>
            </w:tcMar>
            <w:tcW w:w="1667" w:type="pct"/>
            <w:vAlign w:val="center"/>
            <w:vMerge w:val="restart"/>
            <w:textDirection w:val="lrTb"/>
            <w:noWrap w:val="false"/>
          </w:tcPr>
          <w:p>
            <w:pPr>
              <w:jc w:val="center"/>
              <w:rPr>
                <w:rFonts w:hint="default"/>
                <w:lang w:val="en-US" w:eastAsia="zh-CN"/>
              </w:rPr>
            </w:pPr>
            <w:r>
              <w:rPr>
                <w:rFonts w:hint="eastAsia"/>
                <w:lang w:val="en-US" w:eastAsia="zh-CN"/>
              </w:rPr>
              <w:t xml:space="preserve">2448</w:t>
            </w:r>
            <w:r/>
          </w:p>
        </w:tc>
      </w:tr>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高新区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314</w:t>
            </w:r>
            <w:r/>
          </w:p>
        </w:tc>
        <w:tc>
          <w:tcPr>
            <w:tcBorders>
              <w:left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三仓镇</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260</w:t>
            </w:r>
            <w:r/>
          </w:p>
        </w:tc>
        <w:tc>
          <w:tcPr>
            <w:tcBorders>
              <w:left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弶港农场</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5</w:t>
            </w:r>
            <w:r/>
          </w:p>
        </w:tc>
        <w:tc>
          <w:tcPr>
            <w:tcBorders>
              <w:left w:val="single" w:color="auto" w:sz="4" w:space="0"/>
              <w:bottom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000" w:type="pct"/>
            <w:vAlign w:val="center"/>
            <w:textDirection w:val="lrTb"/>
            <w:noWrap w:val="false"/>
          </w:tcPr>
          <w:p>
            <w:pPr>
              <w:jc w:val="center"/>
              <w:rPr>
                <w:rFonts w:hint="eastAsia"/>
                <w:lang w:val="en-US" w:eastAsia="zh-CN"/>
              </w:rPr>
            </w:pPr>
            <w:r>
              <w:rPr>
                <w:rFonts w:hint="eastAsia"/>
                <w:lang w:val="en-US" w:eastAsia="zh-CN"/>
              </w:rPr>
              <w:t xml:space="preserve">采购包二</w:t>
            </w:r>
            <w:r/>
          </w:p>
        </w:tc>
      </w:tr>
      <w:tr>
        <w:trPr>
          <w:trHeight w:val="340"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lang w:val="en-US" w:eastAsia="zh-CN"/>
              </w:rPr>
              <w:t xml:space="preserve">镇区</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lang w:val="en-US" w:eastAsia="zh-CN"/>
              </w:rPr>
              <w:t xml:space="preserve">宗数</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7" w:type="pct"/>
            <w:vAlign w:val="center"/>
            <w:textDirection w:val="lrTb"/>
            <w:noWrap w:val="false"/>
          </w:tcPr>
          <w:p>
            <w:pPr>
              <w:jc w:val="center"/>
              <w:rPr>
                <w:rFonts w:hint="eastAsia"/>
              </w:rPr>
            </w:pPr>
            <w:r>
              <w:rPr>
                <w:rFonts w:hint="eastAsia"/>
                <w:lang w:val="en-US" w:eastAsia="zh-CN"/>
              </w:rPr>
              <w:t xml:space="preserve">合计</w:t>
            </w:r>
            <w:r/>
          </w:p>
        </w:tc>
      </w:tr>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lang w:val="en-US" w:eastAsia="zh-CN"/>
              </w:rPr>
              <w:t xml:space="preserve">梁垛镇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1151</w:t>
            </w:r>
            <w:r/>
          </w:p>
        </w:tc>
        <w:tc>
          <w:tcPr>
            <w:tcBorders>
              <w:top w:val="single" w:color="auto" w:sz="4" w:space="0"/>
              <w:left w:val="single" w:color="auto" w:sz="4" w:space="0"/>
              <w:right w:val="single" w:color="auto" w:sz="4" w:space="0"/>
            </w:tcBorders>
            <w:tcMar>
              <w:left w:w="15" w:type="dxa"/>
              <w:top w:w="15" w:type="dxa"/>
              <w:right w:w="15" w:type="dxa"/>
            </w:tcMar>
            <w:tcW w:w="1667" w:type="pct"/>
            <w:vAlign w:val="center"/>
            <w:vMerge w:val="restart"/>
            <w:textDirection w:val="lrTb"/>
            <w:noWrap w:val="false"/>
          </w:tcPr>
          <w:p>
            <w:pPr>
              <w:jc w:val="center"/>
              <w:rPr>
                <w:rFonts w:hint="default" w:eastAsiaTheme="minorEastAsia"/>
                <w:lang w:val="en-US" w:eastAsia="zh-CN"/>
              </w:rPr>
            </w:pPr>
            <w:r>
              <w:rPr>
                <w:rFonts w:hint="eastAsia"/>
                <w:lang w:val="en-US" w:eastAsia="zh-CN"/>
              </w:rPr>
              <w:t xml:space="preserve">2448</w:t>
            </w:r>
            <w:r/>
          </w:p>
        </w:tc>
      </w:tr>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安丰镇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593</w:t>
            </w:r>
            <w:r/>
          </w:p>
        </w:tc>
        <w:tc>
          <w:tcPr>
            <w:tcBorders>
              <w:left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新街镇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455</w:t>
            </w:r>
            <w:r/>
          </w:p>
        </w:tc>
        <w:tc>
          <w:tcPr>
            <w:tcBorders>
              <w:left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弶港镇</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249</w:t>
            </w:r>
            <w:r/>
          </w:p>
        </w:tc>
        <w:tc>
          <w:tcPr>
            <w:tcBorders>
              <w:left w:val="single" w:color="auto" w:sz="4" w:space="0"/>
              <w:bottom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000" w:type="pct"/>
            <w:vAlign w:val="center"/>
            <w:textDirection w:val="lrTb"/>
            <w:noWrap w:val="false"/>
          </w:tcPr>
          <w:p>
            <w:pPr>
              <w:jc w:val="center"/>
              <w:rPr>
                <w:rFonts w:hint="eastAsia"/>
                <w:lang w:val="en-US" w:eastAsia="zh-CN"/>
              </w:rPr>
            </w:pPr>
            <w:r>
              <w:rPr>
                <w:rFonts w:hint="eastAsia"/>
                <w:lang w:val="en-US" w:eastAsia="zh-CN"/>
              </w:rPr>
              <w:t xml:space="preserve">采购包三</w:t>
            </w:r>
            <w:r/>
          </w:p>
        </w:tc>
      </w:tr>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富安镇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976</w:t>
            </w:r>
            <w:r/>
          </w:p>
        </w:tc>
        <w:tc>
          <w:tcPr>
            <w:tcBorders>
              <w:top w:val="single" w:color="auto" w:sz="4" w:space="0"/>
              <w:left w:val="single" w:color="auto" w:sz="4" w:space="0"/>
              <w:right w:val="single" w:color="auto" w:sz="4" w:space="0"/>
            </w:tcBorders>
            <w:tcMar>
              <w:left w:w="15" w:type="dxa"/>
              <w:top w:w="15" w:type="dxa"/>
              <w:right w:w="15" w:type="dxa"/>
            </w:tcMar>
            <w:tcW w:w="1667" w:type="pct"/>
            <w:vAlign w:val="center"/>
            <w:vMerge w:val="restart"/>
            <w:textDirection w:val="lrTb"/>
            <w:noWrap w:val="false"/>
          </w:tcPr>
          <w:p>
            <w:pPr>
              <w:jc w:val="center"/>
              <w:rPr>
                <w:rFonts w:hint="default" w:eastAsiaTheme="minorEastAsia"/>
                <w:lang w:val="en-US" w:eastAsia="zh-CN"/>
              </w:rPr>
            </w:pPr>
            <w:r>
              <w:rPr>
                <w:rFonts w:hint="eastAsia"/>
                <w:lang w:val="en-US" w:eastAsia="zh-CN"/>
              </w:rPr>
              <w:t xml:space="preserve">2496</w:t>
            </w:r>
            <w:r/>
          </w:p>
        </w:tc>
      </w:tr>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唐洋镇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564</w:t>
            </w:r>
            <w:r/>
          </w:p>
        </w:tc>
        <w:tc>
          <w:tcPr>
            <w:tcBorders>
              <w:left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南沈灶镇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554</w:t>
            </w:r>
            <w:r/>
          </w:p>
        </w:tc>
        <w:tc>
          <w:tcPr>
            <w:tcBorders>
              <w:left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许河镇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402</w:t>
            </w:r>
            <w:r/>
          </w:p>
        </w:tc>
        <w:tc>
          <w:tcPr>
            <w:tcBorders>
              <w:left w:val="single" w:color="auto" w:sz="4" w:space="0"/>
              <w:bottom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000" w:type="pct"/>
            <w:vAlign w:val="center"/>
            <w:textDirection w:val="lrTb"/>
            <w:noWrap w:val="false"/>
          </w:tcPr>
          <w:p>
            <w:pPr>
              <w:jc w:val="center"/>
              <w:rPr>
                <w:rFonts w:hint="eastAsia"/>
                <w:lang w:val="en-US" w:eastAsia="zh-CN"/>
              </w:rPr>
            </w:pPr>
            <w:r>
              <w:rPr>
                <w:rFonts w:hint="eastAsia"/>
                <w:lang w:val="en-US" w:eastAsia="zh-CN"/>
              </w:rPr>
              <w:t xml:space="preserve">采购包四</w:t>
            </w:r>
            <w:r/>
          </w:p>
        </w:tc>
      </w:tr>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五烈镇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658</w:t>
            </w:r>
            <w:r/>
          </w:p>
        </w:tc>
        <w:tc>
          <w:tcPr>
            <w:tcBorders>
              <w:top w:val="single" w:color="auto" w:sz="4" w:space="0"/>
              <w:left w:val="single" w:color="auto" w:sz="4" w:space="0"/>
              <w:right w:val="single" w:color="auto" w:sz="4" w:space="0"/>
            </w:tcBorders>
            <w:tcMar>
              <w:left w:w="15" w:type="dxa"/>
              <w:top w:w="15" w:type="dxa"/>
              <w:right w:w="15" w:type="dxa"/>
            </w:tcMar>
            <w:tcW w:w="1667" w:type="pct"/>
            <w:vAlign w:val="center"/>
            <w:vMerge w:val="restart"/>
            <w:textDirection w:val="lrTb"/>
            <w:noWrap w:val="false"/>
          </w:tcPr>
          <w:p>
            <w:pPr>
              <w:jc w:val="center"/>
              <w:rPr>
                <w:rFonts w:hint="default" w:eastAsiaTheme="minorEastAsia"/>
                <w:lang w:val="en-US" w:eastAsia="zh-CN"/>
              </w:rPr>
            </w:pPr>
            <w:r>
              <w:rPr>
                <w:rFonts w:hint="eastAsia"/>
                <w:lang w:val="en-US" w:eastAsia="zh-CN"/>
              </w:rPr>
              <w:t xml:space="preserve">2487</w:t>
            </w:r>
            <w:r/>
          </w:p>
        </w:tc>
      </w:tr>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头灶镇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602</w:t>
            </w:r>
            <w:r/>
          </w:p>
        </w:tc>
        <w:tc>
          <w:tcPr>
            <w:tcBorders>
              <w:left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时堰镇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531</w:t>
            </w:r>
            <w:r/>
          </w:p>
        </w:tc>
        <w:tc>
          <w:tcPr>
            <w:tcBorders>
              <w:left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开发区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418</w:t>
            </w:r>
            <w:r/>
          </w:p>
        </w:tc>
        <w:tc>
          <w:tcPr>
            <w:tcBorders>
              <w:left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溱东镇</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132</w:t>
            </w:r>
            <w:r/>
          </w:p>
        </w:tc>
        <w:tc>
          <w:tcPr>
            <w:tcBorders>
              <w:left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新曹农场</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79</w:t>
            </w:r>
            <w:r/>
          </w:p>
        </w:tc>
        <w:tc>
          <w:tcPr>
            <w:tcBorders>
              <w:left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r>
        <w:trPr>
          <w:trHeight w:val="340"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西溪景区</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666" w:type="pct"/>
            <w:vAlign w:val="center"/>
            <w:textDirection w:val="lrTb"/>
            <w:noWrap w:val="false"/>
          </w:tcPr>
          <w:p>
            <w:pPr>
              <w:jc w:val="center"/>
              <w:rPr>
                <w:rFonts w:hint="eastAsia"/>
                <w:lang w:val="en-US" w:eastAsia="zh-CN"/>
              </w:rPr>
            </w:pPr>
            <w:r>
              <w:rPr>
                <w:rFonts w:hint="eastAsia"/>
              </w:rPr>
              <w:t xml:space="preserve">67</w:t>
            </w:r>
            <w:r/>
          </w:p>
        </w:tc>
        <w:tc>
          <w:tcPr>
            <w:tcBorders>
              <w:left w:val="single" w:color="auto" w:sz="4" w:space="0"/>
              <w:bottom w:val="single" w:color="auto" w:sz="4" w:space="0"/>
              <w:right w:val="single" w:color="auto" w:sz="4" w:space="0"/>
            </w:tcBorders>
            <w:tcMar>
              <w:left w:w="15" w:type="dxa"/>
              <w:top w:w="15" w:type="dxa"/>
              <w:right w:w="15" w:type="dxa"/>
            </w:tcMar>
            <w:tcW w:w="1667" w:type="pct"/>
            <w:vAlign w:val="center"/>
            <w:vMerge w:val="continue"/>
            <w:textDirection w:val="lrTb"/>
            <w:noWrap w:val="false"/>
          </w:tcPr>
          <w:p>
            <w:pPr>
              <w:jc w:val="center"/>
              <w:rPr>
                <w:rFonts w:hint="eastAsia"/>
              </w:rPr>
            </w:pPr>
            <w:r>
              <w:rPr>
                <w:rFonts w:hint="eastAsia"/>
              </w:rPr>
            </w:r>
            <w:r/>
          </w:p>
        </w:tc>
      </w:tr>
    </w:tbl>
    <w:p>
      <w:pPr>
        <w:pStyle w:val="863"/>
        <w:numPr>
          <w:ilvl w:val="0"/>
          <w:numId w:val="0"/>
        </w:numPr>
        <w:ind w:firstLine="482"/>
        <w:keepLines w:val="0"/>
        <w:keepNext w:val="0"/>
        <w:pageBreakBefore w:val="0"/>
        <w:spacing w:line="360" w:lineRule="exact"/>
        <w:widowControl w:val="off"/>
        <w:rPr>
          <w:rFonts w:hint="eastAsia" w:asciiTheme="minorEastAsia" w:hAnsiTheme="minorEastAsia" w:eastAsiaTheme="minorEastAsia" w:cstheme="minorEastAsia"/>
          <w:b/>
          <w:bCs/>
          <w:color w:val="000000"/>
          <w:sz w:val="24"/>
          <w:szCs w:val="22"/>
          <w:highlight w:val="none"/>
          <w:lang w:val="en-US" w:eastAsia="zh-CN" w:bidi="ar-SA"/>
        </w:rPr>
        <w:outlineLvl w:val="2"/>
      </w:pPr>
      <w:r>
        <w:rPr>
          <w:rFonts w:hint="eastAsia" w:asciiTheme="minorEastAsia" w:hAnsiTheme="minorEastAsia" w:eastAsiaTheme="minorEastAsia" w:cstheme="minorEastAsia"/>
          <w:b/>
          <w:bCs/>
          <w:color w:val="000000"/>
          <w:sz w:val="24"/>
          <w:szCs w:val="22"/>
          <w:highlight w:val="none"/>
          <w:lang w:val="en-US" w:eastAsia="zh-CN" w:bidi="ar-SA"/>
        </w:rPr>
        <w:t xml:space="preserve">三、工作内容</w:t>
      </w:r>
      <w:r/>
    </w:p>
    <w:p>
      <w:pPr>
        <w:ind w:firstLine="482"/>
        <w:keepLines w:val="0"/>
        <w:keepNext w:val="0"/>
        <w:pageBreakBefore w:val="0"/>
        <w:spacing w:line="360" w:lineRule="exact"/>
        <w:widowControl w:val="off"/>
        <w:rPr>
          <w:rFonts w:hint="eastAsia" w:asciiTheme="minorEastAsia" w:hAnsiTheme="minorEastAsia" w:eastAsiaTheme="minorEastAsia" w:cstheme="minorEastAsia"/>
          <w:b/>
          <w:bCs/>
          <w:color w:val="000000"/>
          <w:sz w:val="24"/>
          <w:szCs w:val="22"/>
          <w:highlight w:val="none"/>
          <w:lang w:val="en-US" w:eastAsia="zh-CN" w:bidi="ar-SA"/>
        </w:rPr>
      </w:pPr>
      <w:r>
        <w:rPr>
          <w:rFonts w:hint="eastAsia" w:asciiTheme="minorEastAsia" w:hAnsiTheme="minorEastAsia" w:eastAsiaTheme="minorEastAsia" w:cstheme="minorEastAsia"/>
          <w:b/>
          <w:bCs/>
          <w:color w:val="000000"/>
          <w:sz w:val="24"/>
          <w:szCs w:val="22"/>
          <w:highlight w:val="none"/>
          <w:lang w:val="en-US" w:eastAsia="zh-CN" w:bidi="ar-SA"/>
        </w:rPr>
        <w:t xml:space="preserve">1、技术牵头、补充调查形成处置意见阶段</w:t>
      </w:r>
      <w:r/>
    </w:p>
    <w:p>
      <w:pPr>
        <w:numPr>
          <w:ilvl w:val="0"/>
          <w:numId w:val="0"/>
        </w:num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（1）实施方案编制</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根据实际工作需求编制实施方案：实施方案应包括工作总体目标、试点范围、工作要求、具体处置政策（包含当地宅基地面积标准，现行宅基地“一户一宅”申请标准、宅基地分户条件和有偿使用要求及标准等）、时间安排、整治流程以及保障措施等内容。同时还需要协助编制风险应对预案等。</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（2）人员培训</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bCs/>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对牵头部门、管理条线分管人员以及乡镇基层调查人员等相关人员开展培训，确保其掌握补充调查目标任务、工作原则、标准规范、平台操作及熟悉分类处置政策及法律法规，保障调查成果真实可信、整治合理公正、处置合法有效。</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（3）数据汇总共享</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协调自然资源、住房和城乡建设、农业农村等部门建立数据共享机制。汇总整理县域国土空间规划（土地利用总体规划)、村庄规划、第二次全国国土调查、第三次全国国土调查、三区三线划定、最新高清卫星影像、地籍调查、集体土地所有权登记、房地一体的宅基地使用权确权登记颁证、农村承包地确权登记颁证、农村集体资产清产核资、农村宅基地基础信息调查成果等相关数据资料，建立数据共享资源目录，形成共享数据资源包。</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（4）制作工作底图</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在数据汇总共享的基础上，对任务图斑进行初步内业分析，主要结合行政区划界线、国土调查耕地地类图斑、基本农田范围线、国土空间规划等分析任务图斑数量、面积、分布情况，压占耕地情况，占用基本农田情况等，形成初步的数据分析报告，并以乡镇为基本单位制作工作底图。</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（5）外业测绘</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使用RTK、全站仪等专业测绘设备，外业实地测绘准确获取界址点位置，并计算宗地面积。详细划分主房、辅房、庭院等占地情况。为后期数据叠加分析提供准确的位置信息。</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（6）信息核实完善</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对下发的任务图斑摸排信息表的相关字段数据进行逐一核实、记录，到实地进行信息的确认完善。并拍摄房屋照片。</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（7）举证材料收集</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按照县级分类处置政策的划分要求，梳理形成举证材料清单，协助村（居）委按需收集相关佐证材料，支撑分类处置“一户一策”的制定和整治工作实施，包含主体身份认定证明、户宅证明、承诺书、房屋来源及权属证明等材料。</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（8）图件编制</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根据外业测量结果，叠加基础数据，形成问题图斑示意图、勘测定界图、占耕地叠加分析图、占永久基本农田叠加分析图、“三区三线”划定叠加分析图、影像叠加图、特殊区域叠加分析图等专题图件成果。</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（9）形成处置意见</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根据现场调查及叠加分析数据成果，对照国家处置政策，逐宗开展图斑类型认定，确定图斑类型。针对整治类图斑，根据图斑具体情形，逐宗匹配处置政策，协同县、乡镇、村级共同召开研判会，出具处置意见。</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（10）数据汇总分析</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补充调查完成后，对问题图斑补充调查成果数据进行整理分析，梳理占用永久基本农田图以及特殊用地（重大工程、生态保护红线等）图斑分布、数量、面积，筛选甄别剔除类、整治类图斑信息，明确重点核查图斑（党员干部、城镇居民、超大面积等），统计需进行规划调整的图斑数量、面积，分析新增建设用地指标和耕地占补平衡指标需求等，形成专题台账报表。</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（11）一宗一档编制</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根据补充调查及数据分析成果，结合县级整治分类处置政策，对问题图斑进行初步分类。按照标准格式，为每一宗地编制住宅类房屋专项整治报告。整理汇总补充调查成果及分析报告，形成一宗一档。按照档案归档标准要求，打印装订档案材料。</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（12）材料上传</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将每宗图斑对应的补充调查信息表、公示材料、前后左右照片、各类举证材料、叠加分析图、处置方案等上传专项整治工作平台，并逐宗校对、复核相关数据成果，复核无误后，提交上级部门审核。对接上级部门跟踪审核进度，对退回的图斑按要求整改后再上传，直至审核通过。</w:t>
      </w:r>
      <w:r/>
    </w:p>
    <w:p>
      <w:pPr>
        <w:ind w:firstLine="482"/>
        <w:keepLines w:val="0"/>
        <w:keepNext w:val="0"/>
        <w:pageBreakBefore w:val="0"/>
        <w:spacing w:line="360" w:lineRule="exact"/>
        <w:widowControl w:val="off"/>
        <w:rPr>
          <w:rFonts w:hint="eastAsia" w:asciiTheme="minorEastAsia" w:hAnsiTheme="minorEastAsia" w:eastAsiaTheme="minorEastAsia" w:cstheme="minorEastAsia"/>
          <w:b/>
          <w:bCs/>
          <w:color w:val="000000"/>
          <w:sz w:val="24"/>
          <w:szCs w:val="22"/>
          <w:highlight w:val="none"/>
          <w:lang w:val="en-US" w:eastAsia="zh-CN" w:bidi="ar-SA"/>
        </w:rPr>
      </w:pPr>
      <w:r>
        <w:rPr>
          <w:rFonts w:hint="eastAsia" w:asciiTheme="minorEastAsia" w:hAnsiTheme="minorEastAsia" w:eastAsiaTheme="minorEastAsia" w:cstheme="minorEastAsia"/>
          <w:b/>
          <w:bCs/>
          <w:color w:val="000000"/>
          <w:sz w:val="24"/>
          <w:szCs w:val="22"/>
          <w:highlight w:val="none"/>
          <w:lang w:val="en-US" w:eastAsia="zh-CN" w:bidi="ar-SA"/>
        </w:rPr>
        <w:t xml:space="preserve">2、整治实施阶段</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（1）辅助整治工作</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向农业农村部门提交任务图斑一户一档成果，根据市级审查通过的问题台账，对接相关职能部门，协助提供整治实施相关手续所需数据。</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（2）整治流程指导、培训、咨询</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组织开展县乡两级培训，针对一宗一策一码，提供每一个小类的整治工作流程指导。</w:t>
      </w:r>
      <w:r/>
    </w:p>
    <w:p>
      <w:pPr>
        <w:pStyle w:val="708"/>
        <w:numPr>
          <w:ilvl w:val="0"/>
          <w:numId w:val="1"/>
        </w:numPr>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农转用报批</w:t>
      </w:r>
      <w:r/>
    </w:p>
    <w:p>
      <w:pPr>
        <w:pStyle w:val="708"/>
        <w:numPr>
          <w:ilvl w:val="0"/>
          <w:numId w:val="0"/>
        </w:numPr>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协调自然资源部门收集农转用材料，进行组卷、审核，上报市政府。</w:t>
      </w:r>
      <w:r/>
    </w:p>
    <w:p>
      <w:pPr>
        <w:pStyle w:val="708"/>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（4）整治成果审核上传</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宋体" w:hAnsi="宋体" w:eastAsia="宋体" w:cs="宋体"/>
          <w:color w:val="000000"/>
          <w:sz w:val="24"/>
          <w:szCs w:val="24"/>
          <w:highlight w:val="none"/>
          <w:lang w:val="en-US" w:eastAsia="zh-CN"/>
        </w:rPr>
        <w:t xml:space="preserve">审核乡镇提交的整治成果，符合政策要求的通过并上传至市、省两级。跟踪上级的审核进度，对退回的按照要求落实整改再上传，直至上级审核通过。</w:t>
      </w:r>
      <w:r/>
    </w:p>
    <w:p>
      <w:pPr>
        <w:ind w:firstLine="482"/>
        <w:keepLines w:val="0"/>
        <w:keepNext w:val="0"/>
        <w:pageBreakBefore w:val="0"/>
        <w:spacing w:line="360" w:lineRule="exact"/>
        <w:widowControl w:val="off"/>
        <w:rPr>
          <w:rFonts w:hint="eastAsia" w:asciiTheme="minorEastAsia" w:hAnsiTheme="minorEastAsia" w:eastAsiaTheme="minorEastAsia" w:cstheme="minorEastAsia"/>
          <w:b/>
          <w:bCs/>
          <w:color w:val="000000"/>
          <w:sz w:val="24"/>
          <w:szCs w:val="22"/>
          <w:highlight w:val="none"/>
          <w:lang w:val="en-US" w:eastAsia="zh-CN" w:bidi="ar-SA"/>
        </w:rPr>
      </w:pPr>
      <w:r>
        <w:rPr>
          <w:rFonts w:hint="eastAsia" w:asciiTheme="minorEastAsia" w:hAnsiTheme="minorEastAsia" w:eastAsiaTheme="minorEastAsia" w:cstheme="minorEastAsia"/>
          <w:b/>
          <w:bCs/>
          <w:color w:val="000000"/>
          <w:sz w:val="24"/>
          <w:szCs w:val="22"/>
          <w:highlight w:val="none"/>
          <w:lang w:val="en-US" w:eastAsia="zh-CN" w:bidi="ar-SA"/>
        </w:rPr>
        <w:t xml:space="preserve">3、其他事项</w:t>
      </w:r>
      <w:r/>
    </w:p>
    <w:p>
      <w:pPr>
        <w:ind w:firstLine="480"/>
        <w:keepLines w:val="0"/>
        <w:keepNext w:val="0"/>
        <w:pageBreakBefore w:val="0"/>
        <w:spacing w:line="360" w:lineRule="exact"/>
        <w:widowControl w:val="off"/>
        <w:rPr>
          <w:rFonts w:hint="eastAsia" w:asciiTheme="minorEastAsia" w:hAnsiTheme="minorEastAsia" w:eastAsiaTheme="minorEastAsia" w:cstheme="minorEastAsia"/>
          <w:b w:val="0"/>
          <w:bCs w:val="0"/>
          <w:color w:val="000000"/>
          <w:sz w:val="24"/>
          <w:szCs w:val="22"/>
          <w:highlight w:val="none"/>
          <w:lang w:val="en-US" w:eastAsia="zh-CN" w:bidi="ar-SA"/>
        </w:rPr>
      </w:pPr>
      <w:r>
        <w:rPr>
          <w:rFonts w:hint="eastAsia" w:asciiTheme="minorEastAsia" w:hAnsiTheme="minorEastAsia" w:eastAsiaTheme="minorEastAsia" w:cstheme="minorEastAsia"/>
          <w:b w:val="0"/>
          <w:bCs w:val="0"/>
          <w:color w:val="000000"/>
          <w:sz w:val="24"/>
          <w:szCs w:val="22"/>
          <w:highlight w:val="none"/>
          <w:lang w:val="en-US" w:eastAsia="zh-CN" w:bidi="ar-SA"/>
        </w:rPr>
        <w:t xml:space="preserve">完成采购单位交代的其他相关牵头事项等。</w:t>
      </w:r>
      <w:r/>
    </w:p>
    <w:p>
      <w:pPr>
        <w:pStyle w:val="863"/>
        <w:ind w:firstLine="482"/>
        <w:keepLines w:val="0"/>
        <w:keepNext w:val="0"/>
        <w:pageBreakBefore w:val="0"/>
        <w:spacing w:line="360" w:lineRule="exact"/>
        <w:widowControl w:val="off"/>
        <w:rPr>
          <w:rFonts w:hint="default" w:cs="Times New Roman"/>
          <w:b/>
          <w:bCs/>
          <w:color w:val="000000"/>
          <w:sz w:val="24"/>
          <w:szCs w:val="22"/>
          <w:highlight w:val="none"/>
          <w:lang w:val="en-US" w:eastAsia="zh-CN" w:bidi="ar-SA"/>
        </w:rPr>
        <w:outlineLvl w:val="2"/>
      </w:pPr>
      <w:r>
        <w:rPr>
          <w:rFonts w:hint="eastAsia" w:cs="Times New Roman"/>
          <w:b/>
          <w:bCs/>
          <w:color w:val="000000"/>
          <w:sz w:val="24"/>
          <w:szCs w:val="22"/>
          <w:highlight w:val="none"/>
          <w:lang w:val="en-US" w:eastAsia="zh-CN" w:bidi="ar-SA"/>
        </w:rPr>
        <w:t xml:space="preserve">四、主要技术依据</w:t>
      </w:r>
      <w:r/>
    </w:p>
    <w:p>
      <w:pPr>
        <w:pStyle w:val="863"/>
        <w:ind w:firstLine="482"/>
        <w:keepLines w:val="0"/>
        <w:keepNext w:val="0"/>
        <w:pageBreakBefore w:val="0"/>
        <w:spacing w:line="360" w:lineRule="exact"/>
        <w:widowControl w:val="off"/>
        <w:rPr>
          <w:rFonts w:hint="eastAsia" w:cs="Times New Roman"/>
          <w:b/>
          <w:bCs/>
          <w:color w:val="000000"/>
          <w:sz w:val="24"/>
          <w:szCs w:val="22"/>
          <w:highlight w:val="none"/>
          <w:lang w:val="en-US" w:eastAsia="zh-CN" w:bidi="ar-SA"/>
        </w:rPr>
        <w:outlineLvl w:val="2"/>
      </w:pPr>
      <w:r>
        <w:rPr>
          <w:rFonts w:hint="eastAsia" w:cs="Times New Roman"/>
          <w:b/>
          <w:bCs/>
          <w:color w:val="000000"/>
          <w:sz w:val="24"/>
          <w:szCs w:val="22"/>
          <w:highlight w:val="none"/>
          <w:lang w:val="en-US" w:eastAsia="zh-CN" w:bidi="ar-SA"/>
        </w:rPr>
        <w:t xml:space="preserve">1、政策法规</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（1）《中华人民共和国土地管理法》（2019年修正版）；</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（2）《中央农村工作领导小组办公室、农业农村部关于进一步加强农村宅基地管理的通知》中农发〔2019〕11号；</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（3）《农业农村部关于积极稳妥开展农村闲置宅基地和闲置住宅盘活利用工作的通知》农经发〔2019〕4号；</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（4）《农业农村部、自然资源部关于规范农村宅基地审批管理的通知》</w:t>
      </w:r>
      <w:r>
        <w:rPr>
          <w:rFonts w:hint="eastAsia" w:cs="Times New Roman"/>
          <w:color w:val="auto"/>
          <w:sz w:val="24"/>
          <w:highlight w:val="none"/>
          <w:lang w:val="en-US" w:eastAsia="zh-CN"/>
        </w:rPr>
        <w:tab/>
      </w:r>
      <w:r>
        <w:rPr>
          <w:rFonts w:hint="eastAsia" w:cs="Times New Roman"/>
          <w:color w:val="auto"/>
          <w:sz w:val="24"/>
          <w:highlight w:val="none"/>
          <w:lang w:val="en-US" w:eastAsia="zh-CN"/>
        </w:rPr>
        <w:t xml:space="preserve">农经发〔2019〕6号；</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（5）《中央农村领导小组办公室、农业农村部关于贯彻深化农村宅基地制度改革试点电视电话会议精神、加强农村宅基地改革和管理基础工作的通知》中农发〔2020〕13号；</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（6）《自然资源部 农业农村部关于农村乱占耕地建房“八不准”的通知》（自然资发〔2020〕127号）；</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（7）《自然资源部 农业农村部关于保障农村村民住宅建设合理用地的通知》（自然资发〔2020〕128号）；</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（8）中办、国办《农村乱占耕地建房专项整治试点工作方案》（厅字〔2022〕18号）；</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（9）《农业农村部办公厅关于做好农村宅基地两项试点工作的通知》农办经〔2022〕18号）。</w:t>
      </w:r>
      <w:r/>
    </w:p>
    <w:p>
      <w:pPr>
        <w:pStyle w:val="863"/>
        <w:ind w:firstLine="482"/>
        <w:keepLines w:val="0"/>
        <w:keepNext w:val="0"/>
        <w:pageBreakBefore w:val="0"/>
        <w:spacing w:line="360" w:lineRule="exact"/>
        <w:widowControl w:val="off"/>
        <w:rPr>
          <w:rFonts w:hint="eastAsia" w:cs="Times New Roman"/>
          <w:b/>
          <w:bCs/>
          <w:color w:val="000000"/>
          <w:sz w:val="24"/>
          <w:szCs w:val="22"/>
          <w:highlight w:val="none"/>
          <w:lang w:val="en-US" w:eastAsia="zh-CN" w:bidi="ar-SA"/>
        </w:rPr>
        <w:outlineLvl w:val="2"/>
      </w:pPr>
      <w:r>
        <w:rPr>
          <w:rFonts w:hint="eastAsia" w:cs="Times New Roman"/>
          <w:b/>
          <w:bCs/>
          <w:color w:val="000000"/>
          <w:sz w:val="24"/>
          <w:szCs w:val="22"/>
          <w:highlight w:val="none"/>
          <w:lang w:val="en-US" w:eastAsia="zh-CN" w:bidi="ar-SA"/>
        </w:rPr>
        <w:t xml:space="preserve">2、标准规范</w:t>
      </w:r>
      <w:r/>
    </w:p>
    <w:p>
      <w:pPr>
        <w:pStyle w:val="863"/>
        <w:ind w:firstLine="482"/>
        <w:keepLines w:val="0"/>
        <w:keepNext w:val="0"/>
        <w:pageBreakBefore w:val="0"/>
        <w:spacing w:line="360" w:lineRule="exact"/>
        <w:widowControl w:val="off"/>
        <w:rPr>
          <w:rFonts w:hint="eastAsia" w:cs="Times New Roman"/>
          <w:b/>
          <w:bCs/>
          <w:color w:val="auto"/>
          <w:sz w:val="24"/>
          <w:highlight w:val="none"/>
          <w:lang w:val="en-US" w:eastAsia="zh-CN"/>
        </w:rPr>
      </w:pPr>
      <w:r>
        <w:rPr>
          <w:rFonts w:hint="eastAsia" w:cs="Times New Roman"/>
          <w:b/>
          <w:bCs/>
          <w:color w:val="auto"/>
          <w:sz w:val="24"/>
          <w:highlight w:val="none"/>
          <w:lang w:val="en-US" w:eastAsia="zh-CN"/>
        </w:rPr>
        <w:t xml:space="preserve">（1）《土地利用现状分类》（GB/T21010‐2017）；</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（2）《房产测量规范 第1单元：房产测量规定》（GB/T17986.1‐2000）；</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（3）《国民经济行业分类》（GB/T 4754-2017）；</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（4）《地籍核查规程》（TD/T1001‐2012）；</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（5）《卫星定位城市测量技术标准》（CJJ/T73‐2019）；</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（6）《农村地籍和房屋核查技术方案（试行）》（国土资发〔2014〕101号）；</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（7）《不动产权籍核查技术方案（试行）》（国土资发〔2015〕41号）；</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（8）《农村不动产权籍核查工作指南》（自然资登记函〔2019〕6号）；</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（9）《不动产登记数据库标准（试行）》（国土资发〔2015〕103号）；</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（10）《全球定位系统实时动态测量（RTK）技术规范》（CH/T2009‐2010）；</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（11）《农村宅基地基础信息核查技术规程（试用）》；</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（12）《地籍调查规程》GB/T 42547-2023；</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（13）《中华人民共和国行政区划代码》GB2260—2007；</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（14）《国家基本比例尺地形图分幅和编号》GB/T13989—1992；</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（15）《1:5001:10001:2000地形图数字化规范》GB/T17160-1997；</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（16）《1:50001:10000地形图图式》GB/T5791—1993。</w:t>
      </w:r>
      <w:r/>
    </w:p>
    <w:p>
      <w:pPr>
        <w:pStyle w:val="863"/>
        <w:ind w:firstLine="482"/>
        <w:keepLines w:val="0"/>
        <w:keepNext w:val="0"/>
        <w:pageBreakBefore w:val="0"/>
        <w:spacing w:line="360" w:lineRule="exact"/>
        <w:widowControl w:val="off"/>
        <w:rPr>
          <w:rFonts w:hint="eastAsia" w:cs="Times New Roman"/>
          <w:b/>
          <w:bCs/>
          <w:color w:val="000000"/>
          <w:sz w:val="24"/>
          <w:szCs w:val="22"/>
          <w:highlight w:val="none"/>
          <w:lang w:val="en-US" w:eastAsia="zh-CN" w:bidi="ar-SA"/>
        </w:rPr>
        <w:outlineLvl w:val="2"/>
      </w:pPr>
      <w:r>
        <w:rPr>
          <w:rFonts w:hint="eastAsia" w:cs="Times New Roman"/>
          <w:b/>
          <w:bCs/>
          <w:color w:val="000000"/>
          <w:sz w:val="24"/>
          <w:szCs w:val="22"/>
          <w:highlight w:val="none"/>
          <w:lang w:val="en-US" w:eastAsia="zh-CN" w:bidi="ar-SA"/>
        </w:rPr>
        <w:t xml:space="preserve">五、人员要求</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供应商根据项目要求配备项目组负责人、技术负责人、安全负责人各1人，项目组外业人员（不含项目负责人、技术负责人、安全负责人）不少于20人，其中各采购包的每个镇区至少有2人常驻。采购人有权根据项目实际情况提出增减或调换驻场人员，增减时间和人员原则以总人数和时间总体控制，供调换的储备人员业务水平和能力不得低于被调换人员的业务水平和能力。</w:t>
      </w:r>
      <w:r/>
    </w:p>
    <w:p>
      <w:pPr>
        <w:pStyle w:val="863"/>
        <w:ind w:firstLine="482"/>
        <w:keepLines w:val="0"/>
        <w:keepNext w:val="0"/>
        <w:pageBreakBefore w:val="0"/>
        <w:spacing w:line="360" w:lineRule="exact"/>
        <w:widowControl w:val="off"/>
        <w:rPr>
          <w:rFonts w:hint="eastAsia" w:cs="Times New Roman"/>
          <w:b/>
          <w:bCs/>
          <w:color w:val="000000"/>
          <w:sz w:val="24"/>
          <w:szCs w:val="22"/>
          <w:highlight w:val="none"/>
          <w:lang w:val="en-US" w:eastAsia="zh-CN" w:bidi="ar-SA"/>
        </w:rPr>
        <w:outlineLvl w:val="2"/>
      </w:pPr>
      <w:r>
        <w:rPr>
          <w:rFonts w:hint="eastAsia" w:cs="Times New Roman"/>
          <w:b/>
          <w:bCs/>
          <w:color w:val="000000"/>
          <w:sz w:val="24"/>
          <w:szCs w:val="22"/>
          <w:highlight w:val="none"/>
          <w:lang w:val="en-US" w:eastAsia="zh-CN" w:bidi="ar-SA"/>
        </w:rPr>
        <w:t xml:space="preserve">六、设备要求</w:t>
      </w:r>
      <w:r/>
    </w:p>
    <w:p>
      <w:pPr>
        <w:pStyle w:val="863"/>
        <w:ind w:firstLine="480"/>
        <w:keepLines w:val="0"/>
        <w:keepNext w:val="0"/>
        <w:pageBreakBefore w:val="0"/>
        <w:spacing w:line="360" w:lineRule="exact"/>
        <w:widowControl w:val="off"/>
        <w:rPr>
          <w:rFonts w:hint="default" w:cs="Times New Roman"/>
          <w:color w:val="auto"/>
          <w:sz w:val="24"/>
          <w:highlight w:val="none"/>
          <w:lang w:val="en-US" w:eastAsia="zh-CN"/>
        </w:rPr>
      </w:pPr>
      <w:r>
        <w:rPr>
          <w:rFonts w:hint="eastAsia" w:cs="Times New Roman"/>
          <w:color w:val="auto"/>
          <w:sz w:val="24"/>
          <w:highlight w:val="none"/>
          <w:lang w:val="en-US" w:eastAsia="zh-CN"/>
        </w:rPr>
        <w:t xml:space="preserve">供应商根据项目要求配备种类丰富、专业性强的软硬件设备，如车辆、RTK、无人机、全站仪、电脑、打印机、扫描仪等。</w:t>
      </w:r>
      <w:r/>
    </w:p>
    <w:p>
      <w:pPr>
        <w:pStyle w:val="863"/>
        <w:ind w:firstLine="482"/>
        <w:keepLines w:val="0"/>
        <w:keepNext w:val="0"/>
        <w:pageBreakBefore w:val="0"/>
        <w:spacing w:line="360" w:lineRule="exact"/>
        <w:widowControl w:val="off"/>
        <w:rPr>
          <w:rFonts w:hint="eastAsia" w:cs="Times New Roman"/>
          <w:b/>
          <w:bCs/>
          <w:color w:val="000000"/>
          <w:sz w:val="24"/>
          <w:szCs w:val="22"/>
          <w:highlight w:val="none"/>
          <w:lang w:val="en-US" w:eastAsia="zh-CN" w:bidi="ar-SA"/>
        </w:rPr>
        <w:outlineLvl w:val="2"/>
      </w:pPr>
      <w:r>
        <w:rPr>
          <w:rFonts w:hint="eastAsia" w:cs="Times New Roman"/>
          <w:b/>
          <w:bCs/>
          <w:color w:val="000000"/>
          <w:sz w:val="24"/>
          <w:szCs w:val="22"/>
          <w:highlight w:val="none"/>
          <w:lang w:val="en-US" w:eastAsia="zh-CN" w:bidi="ar-SA"/>
        </w:rPr>
        <w:t xml:space="preserve">七、服务期限</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合同履行期限：2年，本项目要求于2027年12月31日前完成全部工作任务。</w:t>
      </w:r>
      <w:r/>
    </w:p>
    <w:p>
      <w:pPr>
        <w:pStyle w:val="863"/>
        <w:ind w:firstLine="480"/>
        <w:keepLines w:val="0"/>
        <w:keepNext w:val="0"/>
        <w:pageBreakBefore w:val="0"/>
        <w:spacing w:line="360" w:lineRule="exact"/>
        <w:widowControl w:val="off"/>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具体进度要求：</w:t>
      </w:r>
      <w:r/>
    </w:p>
    <w:p>
      <w:pPr>
        <w:pStyle w:val="708"/>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lang w:val="en-US" w:eastAsia="zh-CN"/>
        </w:rPr>
        <w:t xml:space="preserve">6</w:t>
      </w:r>
      <w:r>
        <w:rPr>
          <w:rFonts w:hint="default"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rPr>
        <w:t xml:space="preserve">2月28日</w:t>
      </w:r>
      <w:r>
        <w:rPr>
          <w:rFonts w:hint="default" w:ascii="宋体" w:hAnsi="宋体" w:eastAsia="宋体" w:cs="宋体"/>
          <w:color w:val="000000"/>
          <w:sz w:val="24"/>
          <w:szCs w:val="24"/>
          <w:highlight w:val="none"/>
          <w:lang w:val="en-US" w:eastAsia="zh-CN"/>
        </w:rPr>
        <w:t xml:space="preserve">完成问题图斑补充调查工作，筛选出剔除图斑和整治图斑，剔除图斑编制“一宗一档”</w:t>
      </w:r>
      <w:r>
        <w:rPr>
          <w:rFonts w:hint="eastAsia" w:ascii="宋体" w:hAnsi="宋体" w:eastAsia="宋体" w:cs="宋体"/>
          <w:color w:val="000000"/>
          <w:sz w:val="24"/>
          <w:szCs w:val="24"/>
          <w:highlight w:val="none"/>
          <w:lang w:val="en-US" w:eastAsia="zh-CN"/>
        </w:rPr>
        <w:t xml:space="preserve">并上传，完成审核</w:t>
      </w:r>
      <w:r>
        <w:rPr>
          <w:rFonts w:hint="default" w:ascii="宋体" w:hAnsi="宋体" w:eastAsia="宋体" w:cs="宋体"/>
          <w:color w:val="000000"/>
          <w:sz w:val="24"/>
          <w:szCs w:val="24"/>
          <w:highlight w:val="none"/>
          <w:lang w:val="en-US" w:eastAsia="zh-CN"/>
        </w:rPr>
        <w:t xml:space="preserve">。</w:t>
      </w:r>
      <w:r/>
    </w:p>
    <w:p>
      <w:pPr>
        <w:pStyle w:val="863"/>
        <w:ind w:firstLine="480"/>
        <w:keepLines w:val="0"/>
        <w:keepNext w:val="0"/>
        <w:pageBreakBefore w:val="0"/>
        <w:spacing w:line="360" w:lineRule="exact"/>
        <w:widowControl w:val="off"/>
        <w:rPr>
          <w:rFonts w:hint="eastAsia" w:ascii="宋体" w:cs="Times New Roman"/>
          <w:color w:val="auto"/>
          <w:sz w:val="24"/>
          <w:highlight w:val="none"/>
          <w:lang w:val="en-US" w:eastAsia="zh-CN"/>
        </w:rPr>
      </w:pPr>
      <w:r>
        <w:rPr>
          <w:rFonts w:hint="eastAsia" w:ascii="宋体" w:cs="Times New Roman"/>
          <w:color w:val="auto"/>
          <w:sz w:val="24"/>
          <w:highlight w:val="none"/>
          <w:lang w:val="en-US" w:eastAsia="zh-CN"/>
        </w:rPr>
        <w:t xml:space="preserve">2、2026年12月31日前完成60%整治类、非整治类图斑，并逐宗出具整治验收意见表并上传工作平台，形成整治成果台账。</w:t>
      </w:r>
      <w:r/>
    </w:p>
    <w:p>
      <w:pPr>
        <w:pStyle w:val="863"/>
        <w:ind w:firstLine="480"/>
        <w:keepLines w:val="0"/>
        <w:keepNext w:val="0"/>
        <w:pageBreakBefore w:val="0"/>
        <w:spacing w:line="360" w:lineRule="exact"/>
        <w:widowControl w:val="off"/>
        <w:rPr>
          <w:rFonts w:hint="eastAsia" w:ascii="宋体" w:cs="Times New Roman"/>
          <w:color w:val="auto"/>
          <w:sz w:val="24"/>
          <w:highlight w:val="none"/>
          <w:lang w:val="en-US" w:eastAsia="zh-CN"/>
        </w:rPr>
      </w:pPr>
      <w:r>
        <w:rPr>
          <w:rFonts w:hint="eastAsia" w:ascii="宋体" w:cs="Times New Roman"/>
          <w:color w:val="auto"/>
          <w:sz w:val="24"/>
          <w:highlight w:val="none"/>
          <w:lang w:val="en-US" w:eastAsia="zh-CN"/>
        </w:rPr>
        <w:t xml:space="preserve">3、2027年6月30日前完成100%整治类、非整治类图斑，并逐宗出具整治验收意见表并上传工作平台，形成整治成果台账。</w:t>
      </w:r>
      <w:r/>
    </w:p>
    <w:p>
      <w:pPr>
        <w:pStyle w:val="863"/>
        <w:ind w:firstLine="480"/>
        <w:keepLines w:val="0"/>
        <w:keepNext w:val="0"/>
        <w:pageBreakBefore w:val="0"/>
        <w:spacing w:line="360" w:lineRule="exact"/>
        <w:widowControl w:val="off"/>
        <w:rPr>
          <w:rFonts w:hint="eastAsia" w:ascii="宋体" w:cs="Times New Roman"/>
          <w:color w:val="auto"/>
          <w:sz w:val="24"/>
          <w:highlight w:val="none"/>
          <w:lang w:val="en-US" w:eastAsia="zh-CN"/>
        </w:rPr>
      </w:pPr>
      <w:r>
        <w:rPr>
          <w:rFonts w:hint="eastAsia" w:ascii="宋体" w:cs="Times New Roman"/>
          <w:color w:val="auto"/>
          <w:sz w:val="24"/>
          <w:highlight w:val="none"/>
          <w:lang w:val="en-US" w:eastAsia="zh-CN"/>
        </w:rPr>
        <w:t xml:space="preserve">4、2027年12月31日全部问题图斑完成销号，项目通过省部级抽查验收。</w:t>
      </w:r>
      <w:r/>
    </w:p>
    <w:p>
      <w:pPr>
        <w:pStyle w:val="863"/>
        <w:ind w:firstLine="482"/>
        <w:keepLines w:val="0"/>
        <w:keepNext w:val="0"/>
        <w:pageBreakBefore w:val="0"/>
        <w:spacing w:line="360" w:lineRule="exact"/>
        <w:widowControl w:val="off"/>
        <w:rPr>
          <w:rFonts w:hint="eastAsia" w:cs="Times New Roman"/>
          <w:b/>
          <w:bCs/>
          <w:color w:val="000000"/>
          <w:sz w:val="24"/>
          <w:szCs w:val="22"/>
          <w:highlight w:val="none"/>
          <w:lang w:val="en-US" w:eastAsia="zh-CN" w:bidi="ar-SA"/>
        </w:rPr>
        <w:outlineLvl w:val="2"/>
      </w:pPr>
      <w:r>
        <w:rPr>
          <w:rFonts w:hint="eastAsia" w:cs="Times New Roman"/>
          <w:b/>
          <w:bCs/>
          <w:color w:val="000000"/>
          <w:sz w:val="24"/>
          <w:szCs w:val="22"/>
          <w:highlight w:val="none"/>
          <w:lang w:val="en-US" w:eastAsia="zh-CN" w:bidi="ar-SA"/>
        </w:rPr>
        <w:t xml:space="preserve">八、验收要求</w:t>
      </w:r>
      <w:r/>
    </w:p>
    <w:p>
      <w:pPr>
        <w:ind w:firstLine="480"/>
        <w:keepLines w:val="0"/>
        <w:keepNext w:val="0"/>
        <w:pageBreakBefore w:val="0"/>
        <w:spacing w:line="360" w:lineRule="exact"/>
        <w:widowControl w:val="off"/>
        <w:rPr>
          <w:rFonts w:hint="eastAsia" w:ascii="宋体" w:hAnsi="Calibri" w:cs="Times New Roman" w:eastAsiaTheme="minorEastAsia"/>
          <w:color w:val="auto"/>
          <w:sz w:val="24"/>
          <w:szCs w:val="24"/>
          <w:highlight w:val="none"/>
          <w:lang w:val="en-US" w:eastAsia="zh-CN" w:bidi="ar-SA"/>
        </w:rPr>
      </w:pPr>
      <w:r>
        <w:rPr>
          <w:rFonts w:hint="eastAsia" w:ascii="宋体" w:hAnsi="Calibri" w:cs="Times New Roman" w:eastAsiaTheme="minorEastAsia"/>
          <w:color w:val="auto"/>
          <w:sz w:val="24"/>
          <w:szCs w:val="24"/>
          <w:highlight w:val="none"/>
          <w:lang w:val="en-US" w:eastAsia="zh-CN" w:bidi="ar-SA"/>
        </w:rPr>
        <w:t xml:space="preserve">本项目最终成果经省级工作机制审核合格后，由合同采购方自行组织验收。</w:t>
      </w:r>
      <w:r/>
    </w:p>
    <w:p>
      <w:pPr>
        <w:ind w:firstLine="482"/>
        <w:keepLines w:val="0"/>
        <w:keepNext w:val="0"/>
        <w:pageBreakBefore w:val="0"/>
        <w:spacing w:line="240" w:lineRule="auto"/>
        <w:widowControl w:val="off"/>
        <w:rPr>
          <w:rFonts w:hint="eastAsia" w:ascii="宋体" w:hAnsi="宋体" w:eastAsia="宋体" w:cs="宋体"/>
          <w:b/>
          <w:bCs/>
          <w:color w:val="auto"/>
          <w:sz w:val="24"/>
          <w:highlight w:val="yellow"/>
        </w:rPr>
      </w:pPr>
      <w:r>
        <w:rPr>
          <w:rFonts w:hint="eastAsia" w:ascii="宋体" w:hAnsi="宋体" w:eastAsia="宋体" w:cs="宋体"/>
          <w:b/>
          <w:bCs/>
          <w:color w:val="auto"/>
          <w:sz w:val="24"/>
          <w:highlight w:val="yellow"/>
          <w:lang w:val="en-US" w:eastAsia="zh-CN"/>
        </w:rPr>
        <w:t xml:space="preserve">九</w:t>
      </w:r>
      <w:r>
        <w:rPr>
          <w:rFonts w:hint="eastAsia" w:ascii="宋体" w:hAnsi="宋体" w:eastAsia="宋体" w:cs="宋体"/>
          <w:b/>
          <w:bCs/>
          <w:color w:val="auto"/>
          <w:sz w:val="24"/>
          <w:highlight w:val="yellow"/>
        </w:rPr>
        <w:t xml:space="preserve">、保密要求</w:t>
      </w:r>
      <w:r/>
    </w:p>
    <w:p>
      <w:pPr>
        <w:ind w:firstLine="480"/>
        <w:keepLines w:val="0"/>
        <w:keepNext w:val="0"/>
        <w:pageBreakBefore w:val="0"/>
        <w:spacing w:line="240" w:lineRule="auto"/>
        <w:widowControl w:val="off"/>
        <w:rPr>
          <w:rFonts w:hint="eastAsia" w:ascii="宋体" w:hAnsi="Calibri" w:cs="Times New Roman" w:eastAsiaTheme="minorEastAsia"/>
          <w:color w:val="auto"/>
          <w:sz w:val="24"/>
          <w:szCs w:val="24"/>
          <w:highlight w:val="yellow"/>
          <w:lang w:val="en-US" w:eastAsia="zh-CN" w:bidi="ar-SA"/>
        </w:rPr>
      </w:pPr>
      <w:r>
        <w:rPr>
          <w:rFonts w:hint="eastAsia" w:ascii="宋体" w:hAnsi="Calibri" w:cs="Times New Roman" w:eastAsiaTheme="minorEastAsia"/>
          <w:color w:val="auto"/>
          <w:sz w:val="24"/>
          <w:szCs w:val="24"/>
          <w:highlight w:val="yellow"/>
          <w:lang w:val="en-US" w:eastAsia="zh-CN" w:bidi="ar-SA"/>
        </w:rPr>
        <w:t xml:space="preserve">1、</w:t>
      </w:r>
      <w:r>
        <w:rPr>
          <w:rFonts w:hint="eastAsia" w:ascii="宋体" w:hAnsi="Calibri" w:cs="Times New Roman"/>
          <w:color w:val="auto"/>
          <w:sz w:val="24"/>
          <w:szCs w:val="24"/>
          <w:highlight w:val="yellow"/>
          <w:lang w:val="en-US" w:eastAsia="zh-CN" w:bidi="ar-SA"/>
        </w:rPr>
        <w:t xml:space="preserve">供应商</w:t>
      </w:r>
      <w:r>
        <w:rPr>
          <w:rFonts w:hint="eastAsia" w:ascii="宋体" w:hAnsi="Calibri" w:cs="Times New Roman" w:eastAsiaTheme="minorEastAsia"/>
          <w:color w:val="auto"/>
          <w:sz w:val="24"/>
          <w:szCs w:val="24"/>
          <w:highlight w:val="yellow"/>
          <w:lang w:val="en-US" w:eastAsia="zh-CN" w:bidi="ar-SA"/>
        </w:rPr>
        <w:t xml:space="preserve">须建立严格的保密制度，并加强对工作人员的保密管理及保密知识教育及培训。</w:t>
      </w:r>
      <w:r/>
    </w:p>
    <w:p>
      <w:pPr>
        <w:ind w:firstLine="480"/>
        <w:keepLines w:val="0"/>
        <w:keepNext w:val="0"/>
        <w:pageBreakBefore w:val="0"/>
        <w:spacing w:line="240" w:lineRule="auto"/>
        <w:widowControl w:val="off"/>
        <w:rPr>
          <w:rFonts w:hint="eastAsia" w:ascii="宋体" w:hAnsi="Calibri" w:cs="Times New Roman" w:eastAsiaTheme="minorEastAsia"/>
          <w:color w:val="auto"/>
          <w:sz w:val="24"/>
          <w:szCs w:val="24"/>
          <w:highlight w:val="yellow"/>
          <w:lang w:val="en-US" w:eastAsia="zh-CN" w:bidi="ar-SA"/>
        </w:rPr>
      </w:pPr>
      <w:r>
        <w:rPr>
          <w:rFonts w:hint="eastAsia" w:ascii="宋体" w:hAnsi="Calibri" w:cs="Times New Roman" w:eastAsiaTheme="minorEastAsia"/>
          <w:color w:val="auto"/>
          <w:sz w:val="24"/>
          <w:szCs w:val="24"/>
          <w:highlight w:val="yellow"/>
          <w:lang w:val="en-US" w:eastAsia="zh-CN" w:bidi="ar-SA"/>
        </w:rPr>
        <w:t xml:space="preserve">2、</w:t>
      </w:r>
      <w:r>
        <w:rPr>
          <w:rFonts w:hint="eastAsia" w:ascii="宋体" w:hAnsi="Calibri" w:cs="Times New Roman"/>
          <w:color w:val="auto"/>
          <w:sz w:val="24"/>
          <w:szCs w:val="24"/>
          <w:highlight w:val="yellow"/>
          <w:lang w:val="en-US" w:eastAsia="zh-CN" w:bidi="ar-SA"/>
        </w:rPr>
        <w:t xml:space="preserve">供应商</w:t>
      </w:r>
      <w:r>
        <w:rPr>
          <w:rFonts w:hint="eastAsia" w:ascii="宋体" w:hAnsi="Calibri" w:cs="Times New Roman" w:eastAsiaTheme="minorEastAsia"/>
          <w:color w:val="auto"/>
          <w:sz w:val="24"/>
          <w:szCs w:val="24"/>
          <w:highlight w:val="yellow"/>
          <w:lang w:val="en-US" w:eastAsia="zh-CN" w:bidi="ar-SA"/>
        </w:rPr>
        <w:t xml:space="preserve">须承担与此有关的技术情报和数据资料的保密责任。与本项目有关的资料及数据成果中涉及国家秘密的内容，均要求严格遵守《中华人民共和国测绘法》《中华人民共和国测绘成果管理条例》和国家保密法律法规的规定，切实做好涉密测绘成果的保密工作（如有最新规定文件，均按最新文件执行）。</w:t>
      </w:r>
      <w:r/>
    </w:p>
    <w:p>
      <w:pPr>
        <w:pStyle w:val="708"/>
        <w:ind w:firstLine="480"/>
        <w:jc w:val="both"/>
        <w:keepLines w:val="0"/>
        <w:keepNext w:val="0"/>
        <w:pageBreakBefore w:val="0"/>
        <w:spacing w:beforeAutospacing="0" w:afterAutospacing="0" w:line="3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十、采购标的对应的中小企业划分标准所属行业一览表</w:t>
      </w:r>
      <w:r/>
    </w:p>
    <w:tbl>
      <w:tblPr>
        <w:tblStyle w:val="685"/>
        <w:tblW w:w="4999"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1059"/>
        <w:gridCol w:w="3839"/>
        <w:gridCol w:w="364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pStyle w:val="7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pStyle w:val="7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pStyle w:val="7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pStyle w:val="7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pStyle w:val="7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东台市农村乱占耕地建房住宅类房屋专项整治项目</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pStyle w:val="708"/>
              <w:jc w:val="center"/>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其他未列明行业</w:t>
            </w:r>
            <w:r/>
          </w:p>
        </w:tc>
      </w:tr>
    </w:tbl>
    <w:p>
      <w:pPr>
        <w:keepLines w:val="0"/>
        <w:keepNext w:val="0"/>
        <w:pageBreakBefore w:val="0"/>
        <w:spacing w:line="360" w:lineRule="exact"/>
        <w:widowControl w:val="off"/>
        <w:rPr>
          <w:rFonts w:hint="eastAsia" w:ascii="黑体" w:hAnsi="宋体" w:eastAsia="黑体" w:cs="黑体"/>
          <w:color w:val="000000"/>
          <w:sz w:val="44"/>
          <w:szCs w:val="44"/>
          <w:highlight w:val="none"/>
        </w:rPr>
      </w:pPr>
      <w:r/>
      <w:bookmarkStart w:id="153" w:name="_Toc120614281"/>
      <w:r>
        <w:rPr>
          <w:rFonts w:hint="eastAsia" w:ascii="黑体" w:hAnsi="宋体" w:eastAsia="黑体" w:cs="黑体"/>
          <w:color w:val="000000"/>
          <w:sz w:val="44"/>
          <w:szCs w:val="44"/>
          <w:highlight w:val="none"/>
        </w:rPr>
        <w:br w:type="page" w:clear="all"/>
      </w:r>
      <w:r/>
    </w:p>
    <w:p>
      <w:pPr>
        <w:pStyle w:val="675"/>
        <w:jc w:val="center"/>
      </w:pPr>
      <w:r/>
      <w:bookmarkStart w:id="154" w:name="_Toc29503"/>
      <w:r>
        <w:rPr>
          <w:rFonts w:hint="eastAsia"/>
        </w:rPr>
        <w:t xml:space="preserve">第五章</w:t>
      </w:r>
      <w:r>
        <w:rPr>
          <w:rFonts w:hint="eastAsia"/>
          <w:lang w:val="en-US" w:eastAsia="zh-CN"/>
        </w:rPr>
        <w:t xml:space="preserve">  </w:t>
      </w:r>
      <w:r>
        <w:rPr>
          <w:rFonts w:hint="eastAsia"/>
        </w:rPr>
        <w:t xml:space="preserve">评标方法与评标标准</w:t>
      </w:r>
      <w:bookmarkEnd w:id="154"/>
      <w:r/>
      <w:r/>
    </w:p>
    <w:p>
      <w:pPr>
        <w:pStyle w:val="708"/>
        <w:jc w:val="both"/>
        <w:spacing w:beforeAutospacing="0" w:afterAutospacing="0"/>
        <w:rPr>
          <w:highlight w:val="none"/>
        </w:rPr>
      </w:pPr>
      <w:r>
        <w:rPr>
          <w:highlight w:val="none"/>
        </w:rPr>
      </w:r>
      <w:r/>
    </w:p>
    <w:p>
      <w:pPr>
        <w:ind w:firstLine="482"/>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w:t>
      </w:r>
      <w:r>
        <w:rPr>
          <w:rFonts w:hint="eastAsia" w:ascii="宋体" w:hAnsi="宋体" w:eastAsia="宋体" w:cs="宋体"/>
          <w:color w:val="auto"/>
          <w:sz w:val="24"/>
          <w:szCs w:val="24"/>
          <w:highlight w:val="none"/>
          <w:lang w:val="en-US" w:eastAsia="zh-CN"/>
        </w:rPr>
        <w:t xml:space="preserve">每个采购包</w:t>
      </w:r>
      <w:r>
        <w:rPr>
          <w:rFonts w:hint="eastAsia" w:ascii="宋体" w:hAnsi="宋体" w:eastAsia="宋体" w:cs="宋体"/>
          <w:color w:val="auto"/>
          <w:sz w:val="24"/>
          <w:szCs w:val="24"/>
          <w:highlight w:val="none"/>
        </w:rPr>
        <w:t xml:space="preserve">选取</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名中标候选人。</w:t>
      </w:r>
      <w:r/>
    </w:p>
    <w:p>
      <w:pPr>
        <w:pStyle w:val="708"/>
        <w:ind w:firstLine="441"/>
        <w:keepLines w:val="0"/>
        <w:keepNext w:val="0"/>
        <w:pageBreakBefore w:val="0"/>
        <w:spacing w:before="120" w:beforeAutospacing="0" w:after="120" w:afterAutospacing="0"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符合本项目资格条件的投标单位均可参加本项目四个采购包的投标，但一个投标单位只能中一个采购包，本项目的评标、定标顺序按采购包一、采购包二、采购包三、采购包四顺序进行，如投标人在前面采购包中被确定为中标人时，其响应文件不参与后序采购包的评审。</w:t>
      </w:r>
      <w:r/>
    </w:p>
    <w:p>
      <w:pPr>
        <w:pStyle w:val="708"/>
        <w:ind w:firstLine="441"/>
        <w:keepLines w:val="0"/>
        <w:keepNext w:val="0"/>
        <w:pageBreakBefore w:val="0"/>
        <w:spacing w:before="120" w:beforeAutospacing="0" w:after="120" w:afterAutospacing="0" w:line="360" w:lineRule="exact"/>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708"/>
        <w:ind w:firstLine="480"/>
        <w:keepLines w:val="0"/>
        <w:keepNext w:val="0"/>
        <w:pageBreakBefore w:val="0"/>
        <w:spacing w:before="120" w:beforeAutospacing="0" w:after="12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866"/>
        <w:ind w:firstLine="360"/>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708"/>
        <w:ind w:firstLine="360"/>
        <w:keepLines w:val="0"/>
        <w:keepNext w:val="0"/>
        <w:pageBreakBefore w:val="0"/>
        <w:spacing w:before="120" w:beforeAutospacing="0" w:after="12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708"/>
        <w:ind w:firstLine="360"/>
        <w:keepLines w:val="0"/>
        <w:keepNext w:val="0"/>
        <w:pageBreakBefore w:val="0"/>
        <w:spacing w:before="120" w:beforeAutospacing="0" w:after="12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708"/>
        <w:ind w:firstLine="480"/>
        <w:keepLines w:val="0"/>
        <w:keepNext w:val="0"/>
        <w:pageBreakBefore w:val="0"/>
        <w:spacing w:before="120" w:beforeAutospacing="0" w:after="12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708"/>
        <w:ind w:left="120" w:firstLine="360"/>
        <w:keepLines w:val="0"/>
        <w:keepNext w:val="0"/>
        <w:pageBreakBefore w:val="0"/>
        <w:spacing w:before="120" w:beforeAutospacing="0" w:after="120" w:afterAutospacing="0" w:line="36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708"/>
        <w:ind w:left="120" w:firstLine="360"/>
        <w:keepLines w:val="0"/>
        <w:keepNext w:val="0"/>
        <w:pageBreakBefore w:val="0"/>
        <w:spacing w:before="120" w:beforeAutospacing="0" w:after="12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708"/>
        <w:ind w:left="120" w:firstLine="360"/>
        <w:keepLines w:val="0"/>
        <w:keepNext w:val="0"/>
        <w:pageBreakBefore w:val="0"/>
        <w:spacing w:before="120" w:beforeAutospacing="0" w:after="12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708"/>
        <w:ind w:firstLine="480"/>
        <w:keepLines w:val="0"/>
        <w:keepNext w:val="0"/>
        <w:pageBreakBefore w:val="0"/>
        <w:spacing w:before="120" w:beforeAutospacing="0" w:after="12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708"/>
        <w:ind w:left="120" w:firstLine="360"/>
        <w:keepLines w:val="0"/>
        <w:keepNext w:val="0"/>
        <w:pageBreakBefore w:val="0"/>
        <w:spacing w:before="120" w:beforeAutospacing="0" w:after="12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708"/>
        <w:ind w:firstLine="480"/>
        <w:keepLines w:val="0"/>
        <w:keepNext w:val="0"/>
        <w:pageBreakBefore w:val="0"/>
        <w:spacing w:before="120" w:beforeAutospacing="0" w:after="12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08"/>
        <w:ind w:firstLine="480"/>
        <w:keepLines w:val="0"/>
        <w:keepNext w:val="0"/>
        <w:pageBreakBefore w:val="0"/>
        <w:spacing w:before="120" w:beforeAutospacing="0" w:after="12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708"/>
        <w:ind w:firstLine="480"/>
        <w:keepLines w:val="0"/>
        <w:keepNext w:val="0"/>
        <w:pageBreakBefore w:val="0"/>
        <w:spacing w:before="120" w:beforeAutospacing="0" w:after="12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708"/>
        <w:ind w:firstLine="480"/>
        <w:keepLines w:val="0"/>
        <w:keepNext w:val="0"/>
        <w:pageBreakBefore w:val="0"/>
        <w:spacing w:before="120" w:beforeAutospacing="0" w:after="120" w:afterAutospacing="0"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708"/>
        <w:ind w:left="120" w:firstLine="360"/>
        <w:keepLines w:val="0"/>
        <w:keepNext w:val="0"/>
        <w:pageBreakBefore w:val="0"/>
        <w:spacing w:before="120" w:beforeAutospacing="0" w:after="120" w:afterAutospacing="0" w:line="36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keepLines w:val="0"/>
        <w:keepNext w:val="0"/>
        <w:pageBreakBefore w:val="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08"/>
        <w:ind w:firstLine="482"/>
        <w:keepLines w:val="0"/>
        <w:keepNext w:val="0"/>
        <w:pageBreakBefore w:val="0"/>
        <w:spacing w:before="120" w:beforeAutospacing="0" w:after="120" w:afterAutospacing="0" w:line="360" w:lineRule="exact"/>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tbl>
      <w:tblPr>
        <w:tblStyle w:val="685"/>
        <w:tblW w:w="51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8"/>
        <w:gridCol w:w="943"/>
        <w:gridCol w:w="1132"/>
        <w:gridCol w:w="604"/>
        <w:gridCol w:w="5547"/>
      </w:tblGrid>
      <w:tr>
        <w:trPr>
          <w:jc w:val="center"/>
          <w:trHeight w:val="785"/>
        </w:trPr>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分部</w:t>
            </w:r>
            <w:r/>
          </w:p>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64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分项内容</w:t>
            </w:r>
            <w:r/>
          </w:p>
        </w:tc>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ind w:firstLine="480"/>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打分要求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价格</w:t>
            </w:r>
            <w:r/>
          </w:p>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部分</w:t>
            </w:r>
            <w:r/>
          </w:p>
          <w:p>
            <w:pPr>
              <w:pStyle w:val="687"/>
              <w:ind w:left="0" w:firstLine="0"/>
              <w:jc w:val="center"/>
              <w:keepLines w:val="0"/>
              <w:keepNext w:val="0"/>
              <w:pageBreakBefore w:val="0"/>
              <w:spacing w:line="36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4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rPr>
              <w:t xml:space="preserve">报价</w:t>
            </w:r>
            <w:r/>
          </w:p>
        </w:tc>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ind w:firstLine="480"/>
              <w:keepLines w:val="0"/>
              <w:keepNext w:val="0"/>
              <w:pageBreakBefore w:val="0"/>
              <w:spacing w:beforeAutospacing="0" w:afterAutospacing="0" w:line="3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①</w:t>
            </w:r>
            <w:r>
              <w:rPr>
                <w:rFonts w:hint="eastAsia" w:ascii="宋体" w:hAnsi="宋体" w:eastAsia="宋体" w:cs="宋体"/>
                <w:b w:val="0"/>
                <w:bCs w:val="0"/>
                <w:color w:val="000000"/>
                <w:sz w:val="24"/>
                <w:szCs w:val="24"/>
                <w:highlight w:val="none"/>
                <w:lang w:val="en-US" w:eastAsia="zh-CN"/>
              </w:rPr>
              <w:t xml:space="preserve">整治</w:t>
            </w:r>
            <w:r>
              <w:rPr>
                <w:rFonts w:hint="eastAsia" w:ascii="宋体" w:hAnsi="宋体" w:eastAsia="宋体" w:cs="宋体"/>
                <w:b w:val="0"/>
                <w:bCs w:val="0"/>
                <w:color w:val="000000"/>
                <w:sz w:val="24"/>
                <w:szCs w:val="24"/>
                <w:highlight w:val="none"/>
                <w:lang w:val="zh-CN" w:eastAsia="zh-CN"/>
              </w:rPr>
              <w:t xml:space="preserve">类图斑</w:t>
            </w:r>
            <w:r>
              <w:rPr>
                <w:rFonts w:hint="eastAsia" w:ascii="宋体" w:hAnsi="宋体" w:eastAsia="宋体" w:cs="宋体"/>
                <w:b w:val="0"/>
                <w:bCs w:val="0"/>
                <w:color w:val="000000"/>
                <w:sz w:val="24"/>
                <w:szCs w:val="24"/>
                <w:highlight w:val="none"/>
                <w:lang w:val="en-US" w:eastAsia="zh-CN"/>
              </w:rPr>
              <w:t xml:space="preserve">总分7分</w:t>
            </w:r>
            <w:r>
              <w:rPr>
                <w:rFonts w:hint="eastAsia" w:ascii="宋体" w:hAnsi="宋体" w:eastAsia="宋体" w:cs="宋体"/>
                <w:b w:val="0"/>
                <w:bCs w:val="0"/>
                <w:color w:val="000000"/>
                <w:sz w:val="24"/>
                <w:szCs w:val="24"/>
                <w:highlight w:val="none"/>
                <w:lang w:val="zh-CN" w:eastAsia="zh-CN"/>
              </w:rPr>
              <w:t xml:space="preserve">：有效投标报价的最低价作为评标基准价，其最低报价为满分；按［投标报价得分=（评标基准价/投标报价）*</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zh-CN" w:eastAsia="zh-CN"/>
              </w:rPr>
              <w:t xml:space="preserve">］的计算公式计算。</w:t>
            </w:r>
            <w:r/>
          </w:p>
          <w:p>
            <w:pPr>
              <w:ind w:firstLine="480"/>
              <w:keepLines w:val="0"/>
              <w:keepNext w:val="0"/>
              <w:pageBreakBefore w:val="0"/>
              <w:spacing w:beforeAutospacing="0" w:afterAutospacing="0" w:line="3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②</w:t>
            </w:r>
            <w:r>
              <w:rPr>
                <w:rFonts w:hint="eastAsia" w:ascii="宋体" w:hAnsi="宋体" w:eastAsia="宋体" w:cs="宋体"/>
                <w:b w:val="0"/>
                <w:bCs w:val="0"/>
                <w:color w:val="000000"/>
                <w:sz w:val="24"/>
                <w:szCs w:val="24"/>
                <w:highlight w:val="none"/>
                <w:lang w:val="en-US" w:eastAsia="zh-CN"/>
              </w:rPr>
              <w:t xml:space="preserve">非</w:t>
            </w:r>
            <w:r>
              <w:rPr>
                <w:rFonts w:hint="eastAsia" w:ascii="宋体" w:hAnsi="宋体" w:eastAsia="宋体" w:cs="宋体"/>
                <w:b w:val="0"/>
                <w:bCs w:val="0"/>
                <w:color w:val="000000"/>
                <w:sz w:val="24"/>
                <w:szCs w:val="24"/>
                <w:highlight w:val="none"/>
                <w:lang w:val="zh-CN" w:eastAsia="zh-CN"/>
              </w:rPr>
              <w:t xml:space="preserve">整治类图斑</w:t>
            </w:r>
            <w:r>
              <w:rPr>
                <w:rFonts w:hint="eastAsia" w:ascii="宋体" w:hAnsi="宋体" w:eastAsia="宋体" w:cs="宋体"/>
                <w:b w:val="0"/>
                <w:bCs w:val="0"/>
                <w:color w:val="000000"/>
                <w:sz w:val="24"/>
                <w:szCs w:val="24"/>
                <w:highlight w:val="none"/>
                <w:lang w:val="en-US" w:eastAsia="zh-CN"/>
              </w:rPr>
              <w:t xml:space="preserve">总分5分</w:t>
            </w:r>
            <w:r>
              <w:rPr>
                <w:rFonts w:hint="eastAsia" w:ascii="宋体" w:hAnsi="宋体" w:eastAsia="宋体" w:cs="宋体"/>
                <w:b w:val="0"/>
                <w:bCs w:val="0"/>
                <w:color w:val="000000"/>
                <w:sz w:val="24"/>
                <w:szCs w:val="24"/>
                <w:highlight w:val="none"/>
                <w:lang w:val="zh-CN" w:eastAsia="zh-CN"/>
              </w:rPr>
              <w:t xml:space="preserve">：有效投标报价的最低价作为评标基准价，其最低报价为满分；按［投标报价得分=（评标基准价/投标报价）*</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eastAsia="zh-CN"/>
              </w:rPr>
              <w:t xml:space="preserve">］的计算公式计算。</w:t>
            </w:r>
            <w:r/>
          </w:p>
          <w:p>
            <w:pPr>
              <w:ind w:firstLine="480"/>
              <w:keepLines w:val="0"/>
              <w:keepNext w:val="0"/>
              <w:pageBreakBefore w:val="0"/>
              <w:spacing w:beforeAutospacing="0" w:afterAutospacing="0" w:line="36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计算结果四舍五入保留2位小数。</w:t>
            </w:r>
            <w:r/>
          </w:p>
        </w:tc>
      </w:tr>
      <w:tr>
        <w:trPr>
          <w:jc w:val="center"/>
          <w:trHeight w:val="1273"/>
        </w:trPr>
        <w:tc>
          <w:tcPr>
            <w:tcBorders>
              <w:top w:val="single" w:color="auto" w:sz="4" w:space="0"/>
              <w:left w:val="single" w:color="auto" w:sz="4" w:space="0"/>
              <w:right w:val="single" w:color="auto" w:sz="4" w:space="0"/>
            </w:tcBorders>
            <w:tcW w:w="296"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w:t>
            </w:r>
            <w:r/>
          </w:p>
        </w:tc>
        <w:tc>
          <w:tcPr>
            <w:tcBorders>
              <w:top w:val="single" w:color="auto" w:sz="4" w:space="0"/>
              <w:left w:val="single" w:color="auto" w:sz="4" w:space="0"/>
              <w:right w:val="single" w:color="auto" w:sz="4" w:space="0"/>
            </w:tcBorders>
            <w:tcW w:w="539"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技术</w:t>
            </w:r>
            <w:r/>
          </w:p>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部分</w:t>
            </w:r>
            <w:r/>
          </w:p>
          <w:p>
            <w:pPr>
              <w:pStyle w:val="687"/>
              <w:ind w:left="0" w:firstLine="0"/>
              <w:jc w:val="center"/>
              <w:keepLines w:val="0"/>
              <w:keepNext w:val="0"/>
              <w:pageBreakBefore w:val="0"/>
              <w:spacing w:line="360" w:lineRule="exact"/>
              <w:rPr>
                <w:rFonts w:hint="eastAsia" w:ascii="宋体" w:hAnsi="宋体" w:eastAsia="宋体" w:cs="宋体"/>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59分</w:t>
            </w:r>
            <w:r>
              <w:rPr>
                <w:rFonts w:hint="eastAsia" w:ascii="宋体" w:hAnsi="宋体" w:eastAsia="宋体" w:cs="宋体"/>
                <w:b w:val="0"/>
                <w:bCs w:val="0"/>
                <w:color w:val="000000"/>
                <w:sz w:val="24"/>
                <w:szCs w:val="24"/>
                <w:highlight w:val="none"/>
                <w:lang w:eastAsia="zh-CN"/>
              </w:rPr>
              <w:t xml:space="preserve">）</w:t>
            </w:r>
            <w:r/>
          </w:p>
        </w:tc>
        <w:tc>
          <w:tcPr>
            <w:tcBorders>
              <w:top w:val="single" w:color="auto" w:sz="4" w:space="0"/>
              <w:left w:val="single" w:color="auto" w:sz="4" w:space="0"/>
              <w:right w:val="single" w:color="auto" w:sz="4" w:space="0"/>
            </w:tcBorders>
            <w:tcW w:w="647"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项目理解、分析</w:t>
            </w:r>
            <w:r/>
          </w:p>
        </w:tc>
        <w:tc>
          <w:tcPr>
            <w:tcBorders>
              <w:top w:val="single" w:color="auto" w:sz="4" w:space="0"/>
              <w:left w:val="single" w:color="auto" w:sz="4" w:space="0"/>
              <w:right w:val="single" w:color="auto" w:sz="4" w:space="0"/>
            </w:tcBorders>
            <w:tcW w:w="345" w:type="pct"/>
            <w:vAlign w:val="center"/>
            <w:textDirection w:val="lrTb"/>
            <w:noWrap w:val="false"/>
          </w:tcPr>
          <w:p>
            <w:pPr>
              <w:ind w:left="210" w:hanging="240"/>
              <w:jc w:val="center"/>
              <w:keepLines w:val="0"/>
              <w:keepNext w:val="0"/>
              <w:pageBreakBefore w:val="0"/>
              <w:spacing w:line="36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1）供应商对本项目整体工作需求的理解及分析，项目开展的政策要求分析。（2）供应商提供的对本项目的技术难点分析、风险分析和解决难题、规避风险措施的合理性和可操作性。（3）供应商采用的工作思路及技术路线进行打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满足以上三项要求最多得15分；满足任意二项最多得10分；满足任意一项最多得5分；其余情况不得分。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注：专家根据各供应商的具体响应内容按照以下量化的评审因素指标对各项要求进行满足性判断：</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eastAsia="zh-CN"/>
              </w:rPr>
              <w:fldChar w:fldCharType="begin"/>
            </w:r>
            <w:r>
              <w:rPr>
                <w:rFonts w:hint="eastAsia" w:ascii="宋体" w:hAnsi="宋体" w:eastAsia="宋体" w:cs="宋体"/>
                <w:b w:val="0"/>
                <w:bCs w:val="0"/>
                <w:color w:val="000000"/>
                <w:sz w:val="24"/>
                <w:szCs w:val="24"/>
                <w:highlight w:val="none"/>
                <w:lang w:val="zh-CN" w:eastAsia="zh-CN"/>
              </w:rPr>
              <w:instrText xml:space="preserve"> = 1 \* GB3 \* MERGEFORMAT </w:instrText>
            </w:r>
            <w:r>
              <w:rPr>
                <w:rFonts w:hint="eastAsia" w:ascii="宋体" w:hAnsi="宋体" w:eastAsia="宋体" w:cs="宋体"/>
                <w:b w:val="0"/>
                <w:bCs w:val="0"/>
                <w:color w:val="000000"/>
                <w:sz w:val="24"/>
                <w:szCs w:val="24"/>
                <w:highlight w:val="none"/>
                <w:lang w:val="zh-CN" w:eastAsia="zh-CN"/>
              </w:rPr>
              <w:fldChar w:fldCharType="separate"/>
            </w:r>
            <w:r>
              <w:rPr>
                <w:rFonts w:hint="eastAsia" w:ascii="宋体" w:hAnsi="宋体" w:eastAsia="宋体" w:cs="宋体"/>
                <w:b w:val="0"/>
                <w:bCs w:val="0"/>
                <w:color w:val="000000"/>
                <w:sz w:val="24"/>
                <w:szCs w:val="24"/>
                <w:highlight w:val="none"/>
                <w:lang w:val="zh-CN" w:eastAsia="zh-CN"/>
              </w:rPr>
              <w:t xml:space="preserve">①</w:t>
            </w:r>
            <w:r>
              <w:rPr>
                <w:rFonts w:hint="eastAsia" w:ascii="宋体" w:hAnsi="宋体" w:eastAsia="宋体" w:cs="宋体"/>
                <w:b w:val="0"/>
                <w:bCs w:val="0"/>
                <w:color w:val="000000"/>
                <w:sz w:val="24"/>
                <w:szCs w:val="24"/>
                <w:highlight w:val="none"/>
                <w:lang w:val="zh-CN" w:eastAsia="zh-CN"/>
              </w:rPr>
              <w:fldChar w:fldCharType="end"/>
            </w:r>
            <w:r>
              <w:rPr>
                <w:rFonts w:hint="eastAsia" w:ascii="宋体" w:hAnsi="宋体" w:eastAsia="宋体" w:cs="宋体"/>
                <w:b w:val="0"/>
                <w:bCs w:val="0"/>
                <w:color w:val="000000"/>
                <w:sz w:val="24"/>
                <w:szCs w:val="24"/>
                <w:highlight w:val="none"/>
                <w:lang w:val="en-US" w:eastAsia="zh-CN"/>
              </w:rPr>
              <w:t xml:space="preserve">分析全面、准确、解决方案合理、可行、有效的得5分，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eastAsia="zh-CN"/>
              </w:rPr>
              <w:t xml:space="preserve">②</w:t>
            </w:r>
            <w:r>
              <w:rPr>
                <w:rFonts w:hint="eastAsia" w:ascii="宋体" w:hAnsi="宋体" w:eastAsia="宋体" w:cs="宋体"/>
                <w:b w:val="0"/>
                <w:bCs w:val="0"/>
                <w:color w:val="000000"/>
                <w:sz w:val="24"/>
                <w:szCs w:val="24"/>
                <w:highlight w:val="none"/>
                <w:lang w:val="en-US" w:eastAsia="zh-CN"/>
              </w:rPr>
              <w:t xml:space="preserve">分析较为全面、准确、解决方案较为合理、可行、较为有效的得3分，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eastAsia="zh-CN"/>
              </w:rPr>
              <w:fldChar w:fldCharType="begin"/>
            </w:r>
            <w:r>
              <w:rPr>
                <w:rFonts w:hint="eastAsia" w:ascii="宋体" w:hAnsi="宋体" w:eastAsia="宋体" w:cs="宋体"/>
                <w:b w:val="0"/>
                <w:bCs w:val="0"/>
                <w:color w:val="000000"/>
                <w:sz w:val="24"/>
                <w:szCs w:val="24"/>
                <w:highlight w:val="none"/>
                <w:lang w:val="zh-CN" w:eastAsia="zh-CN"/>
              </w:rPr>
              <w:instrText xml:space="preserve"> = 3 \* GB3 \* MERGEFORMAT </w:instrText>
            </w:r>
            <w:r>
              <w:rPr>
                <w:rFonts w:hint="eastAsia" w:ascii="宋体" w:hAnsi="宋体" w:eastAsia="宋体" w:cs="宋体"/>
                <w:b w:val="0"/>
                <w:bCs w:val="0"/>
                <w:color w:val="000000"/>
                <w:sz w:val="24"/>
                <w:szCs w:val="24"/>
                <w:highlight w:val="none"/>
                <w:lang w:val="zh-CN" w:eastAsia="zh-CN"/>
              </w:rPr>
              <w:fldChar w:fldCharType="separate"/>
            </w:r>
            <w:r>
              <w:rPr>
                <w:rFonts w:hint="eastAsia" w:ascii="宋体" w:hAnsi="宋体" w:eastAsia="宋体" w:cs="宋体"/>
                <w:b w:val="0"/>
                <w:bCs w:val="0"/>
                <w:color w:val="000000"/>
                <w:sz w:val="24"/>
                <w:szCs w:val="24"/>
                <w:highlight w:val="none"/>
                <w:lang w:val="zh-CN" w:eastAsia="zh-CN"/>
              </w:rPr>
              <w:t xml:space="preserve">③</w:t>
            </w:r>
            <w:r>
              <w:rPr>
                <w:rFonts w:hint="eastAsia" w:ascii="宋体" w:hAnsi="宋体" w:eastAsia="宋体" w:cs="宋体"/>
                <w:b w:val="0"/>
                <w:bCs w:val="0"/>
                <w:color w:val="000000"/>
                <w:sz w:val="24"/>
                <w:szCs w:val="24"/>
                <w:highlight w:val="none"/>
                <w:lang w:val="zh-CN" w:eastAsia="zh-CN"/>
              </w:rPr>
              <w:fldChar w:fldCharType="end"/>
            </w:r>
            <w:r>
              <w:rPr>
                <w:rFonts w:hint="eastAsia" w:ascii="宋体" w:hAnsi="宋体" w:eastAsia="宋体" w:cs="宋体"/>
                <w:b w:val="0"/>
                <w:bCs w:val="0"/>
                <w:color w:val="000000"/>
                <w:sz w:val="24"/>
                <w:szCs w:val="24"/>
                <w:highlight w:val="none"/>
                <w:lang w:val="en-US" w:eastAsia="zh-CN"/>
              </w:rPr>
              <w:t xml:space="preserve">分析基本全面、基本准确、解决方案基本合理、基本可行、基本有效的得1分，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eastAsia="zh-CN"/>
              </w:rPr>
              <w:fldChar w:fldCharType="begin"/>
            </w:r>
            <w:r>
              <w:rPr>
                <w:rFonts w:hint="eastAsia" w:ascii="宋体" w:hAnsi="宋体" w:eastAsia="宋体" w:cs="宋体"/>
                <w:b w:val="0"/>
                <w:bCs w:val="0"/>
                <w:color w:val="000000"/>
                <w:sz w:val="24"/>
                <w:szCs w:val="24"/>
                <w:highlight w:val="none"/>
                <w:lang w:val="zh-CN" w:eastAsia="zh-CN"/>
              </w:rPr>
              <w:instrText xml:space="preserve"> = 4 \* GB3 \* MERGEFORMAT </w:instrText>
            </w:r>
            <w:r>
              <w:rPr>
                <w:rFonts w:hint="eastAsia" w:ascii="宋体" w:hAnsi="宋体" w:eastAsia="宋体" w:cs="宋体"/>
                <w:b w:val="0"/>
                <w:bCs w:val="0"/>
                <w:color w:val="000000"/>
                <w:sz w:val="24"/>
                <w:szCs w:val="24"/>
                <w:highlight w:val="none"/>
                <w:lang w:val="zh-CN" w:eastAsia="zh-CN"/>
              </w:rPr>
              <w:fldChar w:fldCharType="separate"/>
            </w:r>
            <w:r>
              <w:rPr>
                <w:rFonts w:hint="eastAsia" w:ascii="宋体" w:hAnsi="宋体" w:eastAsia="宋体" w:cs="宋体"/>
                <w:b w:val="0"/>
                <w:bCs w:val="0"/>
                <w:color w:val="000000"/>
                <w:sz w:val="24"/>
                <w:szCs w:val="24"/>
                <w:highlight w:val="none"/>
                <w:lang w:val="zh-CN" w:eastAsia="zh-CN"/>
              </w:rPr>
              <w:t xml:space="preserve">④</w:t>
            </w:r>
            <w:r>
              <w:rPr>
                <w:rFonts w:hint="eastAsia" w:ascii="宋体" w:hAnsi="宋体" w:eastAsia="宋体" w:cs="宋体"/>
                <w:b w:val="0"/>
                <w:bCs w:val="0"/>
                <w:color w:val="000000"/>
                <w:sz w:val="24"/>
                <w:szCs w:val="24"/>
                <w:highlight w:val="none"/>
                <w:lang w:val="zh-CN" w:eastAsia="zh-CN"/>
              </w:rPr>
              <w:fldChar w:fldCharType="end"/>
            </w:r>
            <w:r>
              <w:rPr>
                <w:rFonts w:hint="eastAsia" w:ascii="宋体" w:hAnsi="宋体" w:eastAsia="宋体" w:cs="宋体"/>
                <w:b w:val="0"/>
                <w:bCs w:val="0"/>
                <w:color w:val="000000"/>
                <w:sz w:val="24"/>
                <w:szCs w:val="24"/>
                <w:highlight w:val="none"/>
                <w:lang w:val="en-US" w:eastAsia="zh-CN"/>
              </w:rPr>
              <w:t xml:space="preserve">本项内容未提供不得分。</w:t>
            </w:r>
            <w:r/>
          </w:p>
        </w:tc>
      </w:tr>
      <w:tr>
        <w:trPr>
          <w:jc w:val="center"/>
          <w:trHeight w:val="711"/>
        </w:trPr>
        <w:tc>
          <w:tcPr>
            <w:tcBorders>
              <w:left w:val="single" w:color="auto" w:sz="4" w:space="0"/>
              <w:right w:val="single" w:color="auto" w:sz="4" w:space="0"/>
            </w:tcBorders>
            <w:tcW w:w="29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left w:val="single" w:color="auto" w:sz="4" w:space="0"/>
              <w:right w:val="single" w:color="auto" w:sz="4" w:space="0"/>
            </w:tcBorders>
            <w:tcW w:w="539" w:type="pct"/>
            <w:vAlign w:val="center"/>
            <w:vMerge w:val="continue"/>
            <w:textDirection w:val="lrTb"/>
            <w:noWrap w:val="false"/>
          </w:tcPr>
          <w:p>
            <w:pPr>
              <w:pStyle w:val="687"/>
              <w:ind w:left="0" w:firstLine="0"/>
              <w:jc w:val="center"/>
              <w:keepLines w:val="0"/>
              <w:keepNext w:val="0"/>
              <w:pageBreakBefore w:val="0"/>
              <w:spacing w:line="36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Borders>
              <w:top w:val="single" w:color="auto" w:sz="4" w:space="0"/>
              <w:left w:val="single" w:color="auto" w:sz="4" w:space="0"/>
              <w:right w:val="single" w:color="auto" w:sz="4" w:space="0"/>
            </w:tcBorders>
            <w:tcW w:w="647"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实施方案</w:t>
            </w:r>
            <w:r/>
          </w:p>
        </w:tc>
        <w:tc>
          <w:tcPr>
            <w:tcBorders>
              <w:top w:val="single" w:color="auto" w:sz="4" w:space="0"/>
              <w:left w:val="single" w:color="auto" w:sz="4" w:space="0"/>
              <w:right w:val="single" w:color="auto" w:sz="4" w:space="0"/>
            </w:tcBorders>
            <w:tcW w:w="34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1）供应商针对本项目的实施组织方案（包括设备配置、人员分工、技术支持等）。（2）供应商针对本项目的外业调查技术手段及作业方法。（3）供应商针对本项目的内业数据整合及建库方案。（4）供应商针对本项目的档案、数据保密制度及保证措施进行打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满足以上四项要求最多得20分；满足以上三项要求最多得15分；满足任意二项最多得10分；满足任意一项最多得5分；其余情况不得分。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注：专家根据各供应商的具体响应内容按照以下量化的评审因素指标对各项要求进行满足性判断：</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fldChar w:fldCharType="begin"/>
            </w:r>
            <w:r>
              <w:rPr>
                <w:rFonts w:hint="eastAsia" w:ascii="宋体" w:hAnsi="宋体" w:eastAsia="宋体" w:cs="宋体"/>
                <w:b w:val="0"/>
                <w:bCs w:val="0"/>
                <w:color w:val="000000"/>
                <w:sz w:val="24"/>
                <w:szCs w:val="24"/>
                <w:highlight w:val="none"/>
                <w:lang w:val="zh-CN" w:eastAsia="zh-CN"/>
              </w:rPr>
              <w:instrText xml:space="preserve"> = 1 \* GB3 \* MERGEFORMAT </w:instrText>
            </w:r>
            <w:r>
              <w:rPr>
                <w:rFonts w:hint="eastAsia" w:ascii="宋体" w:hAnsi="宋体" w:eastAsia="宋体" w:cs="宋体"/>
                <w:b w:val="0"/>
                <w:bCs w:val="0"/>
                <w:color w:val="000000"/>
                <w:sz w:val="24"/>
                <w:szCs w:val="24"/>
                <w:highlight w:val="none"/>
                <w:lang w:val="zh-CN" w:eastAsia="zh-CN"/>
              </w:rPr>
              <w:fldChar w:fldCharType="separate"/>
            </w:r>
            <w:r>
              <w:rPr>
                <w:rFonts w:hint="eastAsia" w:ascii="宋体" w:hAnsi="宋体" w:eastAsia="宋体" w:cs="宋体"/>
                <w:b w:val="0"/>
                <w:bCs w:val="0"/>
                <w:color w:val="000000"/>
                <w:sz w:val="24"/>
                <w:szCs w:val="24"/>
                <w:highlight w:val="none"/>
                <w:lang w:val="zh-CN" w:eastAsia="zh-CN"/>
              </w:rPr>
              <w:t xml:space="preserve">①</w:t>
            </w:r>
            <w:r>
              <w:rPr>
                <w:rFonts w:hint="eastAsia" w:ascii="宋体" w:hAnsi="宋体" w:eastAsia="宋体" w:cs="宋体"/>
                <w:b w:val="0"/>
                <w:bCs w:val="0"/>
                <w:color w:val="000000"/>
                <w:sz w:val="24"/>
                <w:szCs w:val="24"/>
                <w:highlight w:val="none"/>
                <w:lang w:val="zh-CN" w:eastAsia="zh-CN"/>
              </w:rPr>
              <w:fldChar w:fldCharType="end"/>
            </w:r>
            <w:r>
              <w:rPr>
                <w:rFonts w:hint="eastAsia" w:ascii="宋体" w:hAnsi="宋体" w:eastAsia="宋体" w:cs="宋体"/>
                <w:b w:val="0"/>
                <w:bCs w:val="0"/>
                <w:color w:val="000000"/>
                <w:sz w:val="24"/>
                <w:szCs w:val="24"/>
                <w:highlight w:val="none"/>
                <w:lang w:val="zh-CN" w:eastAsia="zh-CN"/>
              </w:rPr>
              <w:t xml:space="preserve">方案符合要求，内容全面、针对性强的得5分；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②方案基本符合要求的得3分；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fldChar w:fldCharType="begin"/>
            </w:r>
            <w:r>
              <w:rPr>
                <w:rFonts w:hint="eastAsia" w:ascii="宋体" w:hAnsi="宋体" w:eastAsia="宋体" w:cs="宋体"/>
                <w:b w:val="0"/>
                <w:bCs w:val="0"/>
                <w:color w:val="000000"/>
                <w:sz w:val="24"/>
                <w:szCs w:val="24"/>
                <w:highlight w:val="none"/>
                <w:lang w:val="zh-CN" w:eastAsia="zh-CN"/>
              </w:rPr>
              <w:instrText xml:space="preserve"> = 3 \* GB3 \* MERGEFORMAT </w:instrText>
            </w:r>
            <w:r>
              <w:rPr>
                <w:rFonts w:hint="eastAsia" w:ascii="宋体" w:hAnsi="宋体" w:eastAsia="宋体" w:cs="宋体"/>
                <w:b w:val="0"/>
                <w:bCs w:val="0"/>
                <w:color w:val="000000"/>
                <w:sz w:val="24"/>
                <w:szCs w:val="24"/>
                <w:highlight w:val="none"/>
                <w:lang w:val="zh-CN" w:eastAsia="zh-CN"/>
              </w:rPr>
              <w:fldChar w:fldCharType="separate"/>
            </w:r>
            <w:r>
              <w:rPr>
                <w:rFonts w:hint="eastAsia" w:ascii="宋体" w:hAnsi="宋体" w:eastAsia="宋体" w:cs="宋体"/>
                <w:b w:val="0"/>
                <w:bCs w:val="0"/>
                <w:color w:val="000000"/>
                <w:sz w:val="24"/>
                <w:szCs w:val="24"/>
                <w:highlight w:val="none"/>
                <w:lang w:val="zh-CN" w:eastAsia="zh-CN"/>
              </w:rPr>
              <w:t xml:space="preserve">③</w:t>
            </w:r>
            <w:r>
              <w:rPr>
                <w:rFonts w:hint="eastAsia" w:ascii="宋体" w:hAnsi="宋体" w:eastAsia="宋体" w:cs="宋体"/>
                <w:b w:val="0"/>
                <w:bCs w:val="0"/>
                <w:color w:val="000000"/>
                <w:sz w:val="24"/>
                <w:szCs w:val="24"/>
                <w:highlight w:val="none"/>
                <w:lang w:val="zh-CN" w:eastAsia="zh-CN"/>
              </w:rPr>
              <w:fldChar w:fldCharType="end"/>
            </w:r>
            <w:r>
              <w:rPr>
                <w:rFonts w:hint="eastAsia" w:ascii="宋体" w:hAnsi="宋体" w:eastAsia="宋体" w:cs="宋体"/>
                <w:b w:val="0"/>
                <w:bCs w:val="0"/>
                <w:color w:val="000000"/>
                <w:sz w:val="24"/>
                <w:szCs w:val="24"/>
                <w:highlight w:val="none"/>
                <w:lang w:val="zh-CN" w:eastAsia="zh-CN"/>
              </w:rPr>
              <w:t xml:space="preserve">方案内容有但不全面、不完整、无针对性的1分；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fldChar w:fldCharType="begin"/>
            </w:r>
            <w:r>
              <w:rPr>
                <w:rFonts w:hint="eastAsia" w:ascii="宋体" w:hAnsi="宋体" w:eastAsia="宋体" w:cs="宋体"/>
                <w:b w:val="0"/>
                <w:bCs w:val="0"/>
                <w:color w:val="000000"/>
                <w:sz w:val="24"/>
                <w:szCs w:val="24"/>
                <w:highlight w:val="none"/>
                <w:lang w:val="zh-CN" w:eastAsia="zh-CN"/>
              </w:rPr>
              <w:instrText xml:space="preserve"> = 4 \* GB3 \* MERGEFORMAT </w:instrText>
            </w:r>
            <w:r>
              <w:rPr>
                <w:rFonts w:hint="eastAsia" w:ascii="宋体" w:hAnsi="宋体" w:eastAsia="宋体" w:cs="宋体"/>
                <w:b w:val="0"/>
                <w:bCs w:val="0"/>
                <w:color w:val="000000"/>
                <w:sz w:val="24"/>
                <w:szCs w:val="24"/>
                <w:highlight w:val="none"/>
                <w:lang w:val="zh-CN" w:eastAsia="zh-CN"/>
              </w:rPr>
              <w:fldChar w:fldCharType="separate"/>
            </w:r>
            <w:r>
              <w:rPr>
                <w:rFonts w:hint="eastAsia" w:ascii="宋体" w:hAnsi="宋体" w:eastAsia="宋体" w:cs="宋体"/>
                <w:b w:val="0"/>
                <w:bCs w:val="0"/>
                <w:color w:val="000000"/>
                <w:sz w:val="24"/>
                <w:szCs w:val="24"/>
                <w:highlight w:val="none"/>
                <w:lang w:val="zh-CN" w:eastAsia="zh-CN"/>
              </w:rPr>
              <w:t xml:space="preserve">④</w:t>
            </w:r>
            <w:r>
              <w:rPr>
                <w:rFonts w:hint="eastAsia" w:ascii="宋体" w:hAnsi="宋体" w:eastAsia="宋体" w:cs="宋体"/>
                <w:b w:val="0"/>
                <w:bCs w:val="0"/>
                <w:color w:val="000000"/>
                <w:sz w:val="24"/>
                <w:szCs w:val="24"/>
                <w:highlight w:val="none"/>
                <w:lang w:val="zh-CN" w:eastAsia="zh-CN"/>
              </w:rPr>
              <w:fldChar w:fldCharType="end"/>
            </w:r>
            <w:r>
              <w:rPr>
                <w:rFonts w:hint="eastAsia" w:ascii="宋体" w:hAnsi="宋体" w:eastAsia="宋体" w:cs="宋体"/>
                <w:b w:val="0"/>
                <w:bCs w:val="0"/>
                <w:color w:val="000000"/>
                <w:sz w:val="24"/>
                <w:szCs w:val="24"/>
                <w:highlight w:val="none"/>
                <w:lang w:val="zh-CN" w:eastAsia="zh-CN"/>
              </w:rPr>
              <w:t xml:space="preserve">未提供内容的不得分。</w:t>
            </w:r>
            <w:r/>
          </w:p>
        </w:tc>
      </w:tr>
      <w:tr>
        <w:trPr>
          <w:jc w:val="center"/>
          <w:trHeight w:val="412"/>
        </w:trPr>
        <w:tc>
          <w:tcPr>
            <w:tcBorders>
              <w:left w:val="single" w:color="auto" w:sz="4" w:space="0"/>
              <w:right w:val="single" w:color="auto" w:sz="4" w:space="0"/>
            </w:tcBorders>
            <w:tcW w:w="29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left w:val="single" w:color="auto" w:sz="4" w:space="0"/>
              <w:right w:val="single" w:color="auto" w:sz="4" w:space="0"/>
            </w:tcBorders>
            <w:tcW w:w="539" w:type="pct"/>
            <w:vAlign w:val="center"/>
            <w:vMerge w:val="continue"/>
            <w:textDirection w:val="lrTb"/>
            <w:noWrap w:val="false"/>
          </w:tcPr>
          <w:p>
            <w:pPr>
              <w:pStyle w:val="687"/>
              <w:ind w:left="0" w:firstLine="0"/>
              <w:jc w:val="center"/>
              <w:keepLines w:val="0"/>
              <w:keepNext w:val="0"/>
              <w:pageBreakBefore w:val="0"/>
              <w:spacing w:line="36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Borders>
              <w:top w:val="single" w:color="auto" w:sz="4" w:space="0"/>
              <w:left w:val="single" w:color="auto" w:sz="4" w:space="0"/>
              <w:right w:val="single" w:color="auto" w:sz="4" w:space="0"/>
            </w:tcBorders>
            <w:tcW w:w="647"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进度控制目标和措施</w:t>
            </w:r>
            <w:r/>
          </w:p>
        </w:tc>
        <w:tc>
          <w:tcPr>
            <w:tcBorders>
              <w:top w:val="single" w:color="auto" w:sz="4" w:space="0"/>
              <w:left w:val="single" w:color="auto" w:sz="4" w:space="0"/>
              <w:right w:val="single" w:color="auto" w:sz="4" w:space="0"/>
            </w:tcBorders>
            <w:tcW w:w="34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根据供应商对本项目的进度管控进行评分：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（1）进度计划及控制措施全面、科学、合理的得8分；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（2）进度计划及控制措施较为全面、较为科学、较为合理的得6分；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（3）进度计划及控制措施基本全面、基本科学、基本合理的得4分；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（4）进度计划及控制措施不够全面、不够合理的得2分；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（5）本项内容未提供不得分。</w:t>
            </w:r>
            <w:r/>
          </w:p>
        </w:tc>
      </w:tr>
      <w:tr>
        <w:trPr>
          <w:jc w:val="center"/>
          <w:trHeight w:val="711"/>
        </w:trPr>
        <w:tc>
          <w:tcPr>
            <w:tcBorders>
              <w:left w:val="single" w:color="auto" w:sz="4" w:space="0"/>
              <w:right w:val="single" w:color="auto" w:sz="4" w:space="0"/>
            </w:tcBorders>
            <w:tcW w:w="29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left w:val="single" w:color="auto" w:sz="4" w:space="0"/>
              <w:right w:val="single" w:color="auto" w:sz="4" w:space="0"/>
            </w:tcBorders>
            <w:tcW w:w="539" w:type="pct"/>
            <w:vAlign w:val="center"/>
            <w:vMerge w:val="continue"/>
            <w:textDirection w:val="lrTb"/>
            <w:noWrap w:val="false"/>
          </w:tcPr>
          <w:p>
            <w:pPr>
              <w:pStyle w:val="687"/>
              <w:ind w:left="0" w:firstLine="0"/>
              <w:jc w:val="center"/>
              <w:keepLines w:val="0"/>
              <w:keepNext w:val="0"/>
              <w:pageBreakBefore w:val="0"/>
              <w:spacing w:line="36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Borders>
              <w:top w:val="single" w:color="auto" w:sz="4" w:space="0"/>
              <w:left w:val="single" w:color="auto" w:sz="4" w:space="0"/>
              <w:right w:val="single" w:color="auto" w:sz="4" w:space="0"/>
            </w:tcBorders>
            <w:tcW w:w="647"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质量控制目标和措施</w:t>
            </w:r>
            <w:r/>
          </w:p>
        </w:tc>
        <w:tc>
          <w:tcPr>
            <w:tcBorders>
              <w:top w:val="single" w:color="auto" w:sz="4" w:space="0"/>
              <w:left w:val="single" w:color="auto" w:sz="4" w:space="0"/>
              <w:right w:val="single" w:color="auto" w:sz="4" w:space="0"/>
            </w:tcBorders>
            <w:tcW w:w="34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根据供应商项目实施的质量保证体系、质量保证计划、质量保证措施、确保服务期和服务质量的承诺情况打分：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（1）详细明确、合理可行得8分，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（2）较为详细明确、较为合理可行得6分，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（3）基本详细基本明确、基本合理基本可行得4分，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（4）不够详细、不够明确、不够合理、缺乏可行性得2分；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（5）本项内容未提供不得分。</w:t>
            </w:r>
            <w:r/>
          </w:p>
        </w:tc>
      </w:tr>
      <w:tr>
        <w:trPr>
          <w:jc w:val="center"/>
          <w:trHeight w:val="711"/>
        </w:trPr>
        <w:tc>
          <w:tcPr>
            <w:tcBorders>
              <w:left w:val="single" w:color="auto" w:sz="4" w:space="0"/>
              <w:right w:val="single" w:color="auto" w:sz="4" w:space="0"/>
            </w:tcBorders>
            <w:tcW w:w="29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left w:val="single" w:color="auto" w:sz="4" w:space="0"/>
              <w:right w:val="single" w:color="auto" w:sz="4" w:space="0"/>
            </w:tcBorders>
            <w:tcW w:w="539" w:type="pct"/>
            <w:vAlign w:val="center"/>
            <w:vMerge w:val="continue"/>
            <w:textDirection w:val="lrTb"/>
            <w:noWrap w:val="false"/>
          </w:tcPr>
          <w:p>
            <w:pPr>
              <w:pStyle w:val="687"/>
              <w:ind w:left="0" w:firstLine="0"/>
              <w:jc w:val="center"/>
              <w:keepLines w:val="0"/>
              <w:keepNext w:val="0"/>
              <w:pageBreakBefore w:val="0"/>
              <w:spacing w:line="36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Borders>
              <w:top w:val="single" w:color="auto" w:sz="4" w:space="0"/>
              <w:left w:val="single" w:color="auto" w:sz="4" w:space="0"/>
              <w:right w:val="single" w:color="auto" w:sz="4" w:space="0"/>
            </w:tcBorders>
            <w:tcW w:w="647"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售后服务方案</w:t>
            </w:r>
            <w:r/>
          </w:p>
        </w:tc>
        <w:tc>
          <w:tcPr>
            <w:tcBorders>
              <w:top w:val="single" w:color="auto" w:sz="4" w:space="0"/>
              <w:left w:val="single" w:color="auto" w:sz="4" w:space="0"/>
              <w:right w:val="single" w:color="auto" w:sz="4" w:space="0"/>
            </w:tcBorders>
            <w:tcW w:w="34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根据供应商提供的后续服务承诺及服务条款完善情况进行评审：</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（1）服务承诺全面、合理、可行的得8分，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（2）服务承诺较为全面、较为合理、较为可行的得6分，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（2）服务承诺基本全面、基本合理、基本可行的得4分，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（3）服务承诺不够全面、不够合理、缺乏可行性的得2分。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（4）本项内容未提供或不得分。</w:t>
            </w:r>
            <w:r/>
          </w:p>
        </w:tc>
      </w:tr>
      <w:tr>
        <w:trPr>
          <w:jc w:val="center"/>
          <w:trHeight w:val="711"/>
        </w:trPr>
        <w:tc>
          <w:tcPr>
            <w:tcBorders>
              <w:left w:val="single" w:color="auto" w:sz="4" w:space="0"/>
              <w:right w:val="single" w:color="auto" w:sz="4" w:space="0"/>
            </w:tcBorders>
            <w:tcW w:w="296"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三</w:t>
            </w:r>
            <w:r/>
          </w:p>
        </w:tc>
        <w:tc>
          <w:tcPr>
            <w:tcBorders>
              <w:left w:val="single" w:color="auto" w:sz="4" w:space="0"/>
              <w:right w:val="single" w:color="auto" w:sz="4" w:space="0"/>
            </w:tcBorders>
            <w:tcW w:w="539" w:type="pct"/>
            <w:vAlign w:val="center"/>
            <w:vMerge w:val="restart"/>
            <w:textDirection w:val="lrTb"/>
            <w:noWrap w:val="false"/>
          </w:tcPr>
          <w:p>
            <w:pPr>
              <w:pStyle w:val="687"/>
              <w:ind w:left="0" w:firstLine="0"/>
              <w:jc w:val="center"/>
              <w:keepLines w:val="0"/>
              <w:keepNext w:val="0"/>
              <w:pageBreakBefore w:val="0"/>
              <w:spacing w:line="36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商务</w:t>
            </w:r>
            <w:r/>
          </w:p>
          <w:p>
            <w:pPr>
              <w:pStyle w:val="687"/>
              <w:ind w:left="0" w:firstLine="0"/>
              <w:jc w:val="center"/>
              <w:keepLines w:val="0"/>
              <w:keepNext w:val="0"/>
              <w:pageBreakBefore w:val="0"/>
              <w:spacing w:line="36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部分</w:t>
            </w:r>
            <w:r/>
          </w:p>
          <w:p>
            <w:pPr>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b w:val="0"/>
                <w:bCs w:val="0"/>
                <w:color w:val="000000"/>
                <w:sz w:val="24"/>
                <w:szCs w:val="24"/>
                <w:highlight w:val="none"/>
                <w:lang w:val="en-US" w:eastAsia="zh-CN"/>
              </w:rPr>
              <w:t xml:space="preserve">（29分）</w:t>
            </w:r>
            <w:r/>
          </w:p>
        </w:tc>
        <w:tc>
          <w:tcPr>
            <w:tcBorders>
              <w:top w:val="single" w:color="auto" w:sz="4" w:space="0"/>
              <w:left w:val="single" w:color="auto" w:sz="4" w:space="0"/>
              <w:right w:val="single" w:color="auto" w:sz="4" w:space="0"/>
            </w:tcBorders>
            <w:tcW w:w="647"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 xml:space="preserve">企业实力</w:t>
            </w:r>
            <w:r/>
          </w:p>
        </w:tc>
        <w:tc>
          <w:tcPr>
            <w:tcBorders>
              <w:top w:val="single" w:color="auto" w:sz="4" w:space="0"/>
              <w:left w:val="single" w:color="auto" w:sz="4" w:space="0"/>
              <w:right w:val="single" w:color="auto" w:sz="4" w:space="0"/>
            </w:tcBorders>
            <w:tcW w:w="34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投标供应商具有质量管理体系认证、环境管理体系认证、职业健康安全管理体系认证、信息技术服务管理体系认证，每个得1分，最高得4分。</w:t>
            </w:r>
            <w:r/>
          </w:p>
          <w:p>
            <w:pPr>
              <w:pStyle w:val="710"/>
              <w:ind w:left="0" w:firstLine="482"/>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zh-CN" w:eastAsia="zh-CN"/>
              </w:rPr>
              <w:t xml:space="preserve">认证证书的有效性认定：须提供</w:t>
            </w:r>
            <w:r>
              <w:rPr>
                <w:rFonts w:hint="eastAsia" w:ascii="宋体" w:hAnsi="宋体" w:eastAsia="宋体" w:cs="宋体"/>
                <w:b/>
                <w:bCs/>
                <w:color w:val="000000"/>
                <w:sz w:val="24"/>
                <w:szCs w:val="24"/>
                <w:highlight w:val="none"/>
                <w:lang w:val="en-US" w:eastAsia="zh-CN"/>
              </w:rPr>
              <w:t xml:space="preserve">在有效期内</w:t>
            </w:r>
            <w:r>
              <w:rPr>
                <w:rFonts w:hint="eastAsia" w:ascii="宋体" w:hAnsi="宋体" w:eastAsia="宋体" w:cs="宋体"/>
                <w:b/>
                <w:bCs/>
                <w:color w:val="000000"/>
                <w:sz w:val="24"/>
                <w:szCs w:val="24"/>
                <w:highlight w:val="none"/>
                <w:lang w:val="zh-CN" w:eastAsia="zh-CN"/>
              </w:rPr>
              <w:t xml:space="preserve">证书扫描件加盖</w:t>
            </w:r>
            <w:r>
              <w:rPr>
                <w:rFonts w:hint="eastAsia" w:asci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lang w:val="zh-CN" w:eastAsia="zh-CN"/>
              </w:rPr>
              <w:t xml:space="preserve">单位公章，同时提供中国国家认证认可监督管理委员会网站查询截图证明材料，不提供的不得分。</w:t>
            </w:r>
            <w:r/>
          </w:p>
        </w:tc>
      </w:tr>
      <w:tr>
        <w:trPr>
          <w:jc w:val="center"/>
          <w:trHeight w:val="401"/>
        </w:trPr>
        <w:tc>
          <w:tcPr>
            <w:tcBorders>
              <w:left w:val="single" w:color="auto" w:sz="4" w:space="0"/>
              <w:right w:val="single" w:color="auto" w:sz="4" w:space="0"/>
            </w:tcBorders>
            <w:tcW w:w="29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left w:val="single" w:color="auto" w:sz="4" w:space="0"/>
              <w:right w:val="single" w:color="auto" w:sz="4" w:space="0"/>
            </w:tcBorders>
            <w:tcW w:w="539" w:type="pct"/>
            <w:vAlign w:val="center"/>
            <w:vMerge w:val="continue"/>
            <w:textDirection w:val="lrTb"/>
            <w:noWrap w:val="false"/>
          </w:tcPr>
          <w:p>
            <w:pPr>
              <w:pStyle w:val="687"/>
              <w:ind w:left="0" w:firstLine="0"/>
              <w:jc w:val="center"/>
              <w:keepLines w:val="0"/>
              <w:keepNext w:val="0"/>
              <w:pageBreakBefore w:val="0"/>
              <w:spacing w:line="36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Borders>
              <w:left w:val="single" w:color="auto" w:sz="4" w:space="0"/>
              <w:right w:val="single" w:color="auto" w:sz="4" w:space="0"/>
            </w:tcBorders>
            <w:tcW w:w="647"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auto" w:sz="4" w:space="0"/>
              <w:left w:val="single" w:color="auto" w:sz="4" w:space="0"/>
              <w:right w:val="single" w:color="auto" w:sz="4" w:space="0"/>
            </w:tcBorders>
            <w:tcW w:w="34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投标供应商具有农村乱占耕地建房监测或监管类、航空摄影或无人机监测类软件著作权登记证书的，</w:t>
            </w:r>
            <w:r>
              <w:rPr>
                <w:rFonts w:hint="eastAsia" w:ascii="宋体" w:hAnsi="宋体" w:eastAsia="宋体" w:cs="宋体"/>
                <w:b w:val="0"/>
                <w:bCs w:val="0"/>
                <w:color w:val="000000"/>
                <w:sz w:val="24"/>
                <w:szCs w:val="24"/>
                <w:highlight w:val="none"/>
                <w:lang w:val="zh-CN" w:eastAsia="zh-CN"/>
              </w:rPr>
              <w:t xml:space="preserve">每</w:t>
            </w:r>
            <w:r>
              <w:rPr>
                <w:rFonts w:hint="eastAsia" w:ascii="宋体" w:hAnsi="宋体" w:eastAsia="宋体" w:cs="宋体"/>
                <w:b w:val="0"/>
                <w:bCs w:val="0"/>
                <w:color w:val="000000"/>
                <w:sz w:val="24"/>
                <w:szCs w:val="24"/>
                <w:highlight w:val="none"/>
                <w:lang w:val="en-US" w:eastAsia="zh-CN"/>
              </w:rPr>
              <w:t xml:space="preserve">提供1个</w:t>
            </w:r>
            <w:r>
              <w:rPr>
                <w:rFonts w:hint="eastAsia" w:ascii="宋体" w:hAnsi="宋体" w:eastAsia="宋体" w:cs="宋体"/>
                <w:b w:val="0"/>
                <w:bCs w:val="0"/>
                <w:color w:val="000000"/>
                <w:sz w:val="24"/>
                <w:szCs w:val="24"/>
                <w:highlight w:val="none"/>
                <w:lang w:val="zh-CN" w:eastAsia="zh-CN"/>
              </w:rPr>
              <w:t xml:space="preserve">得1分，最高得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eastAsia="zh-CN"/>
              </w:rPr>
              <w:t xml:space="preserve">分。</w:t>
            </w:r>
            <w:r/>
          </w:p>
          <w:p>
            <w:pPr>
              <w:pStyle w:val="710"/>
              <w:ind w:left="0" w:firstLine="482"/>
              <w:keepLines w:val="0"/>
              <w:keepNext w:val="0"/>
              <w:pageBreakBefore w:val="0"/>
              <w:spacing w:after="0" w:line="360" w:lineRule="exact"/>
              <w:widowControl w:val="off"/>
              <w:rPr>
                <w:rFonts w:hint="eastAsia" w:ascii="宋体" w:hAnsi="宋体" w:eastAsia="宋体" w:cs="宋体"/>
                <w:b w:val="0"/>
                <w:bCs w:val="0"/>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注：提供软件著作权登记证书</w:t>
            </w:r>
            <w:r>
              <w:rPr>
                <w:rFonts w:hint="eastAsia" w:ascii="宋体" w:eastAsia="宋体" w:cs="宋体"/>
                <w:b/>
                <w:bCs/>
                <w:color w:val="000000"/>
                <w:sz w:val="24"/>
                <w:szCs w:val="24"/>
                <w:highlight w:val="white"/>
                <w:lang w:val="en-US" w:eastAsia="zh-CN"/>
              </w:rPr>
              <w:t xml:space="preserve">扫描件</w:t>
            </w:r>
            <w:r>
              <w:rPr>
                <w:rFonts w:hint="eastAsia" w:ascii="宋体" w:hAnsi="宋体" w:eastAsia="宋体" w:cs="宋体"/>
                <w:b/>
                <w:bCs/>
                <w:color w:val="000000"/>
                <w:sz w:val="24"/>
                <w:szCs w:val="24"/>
                <w:highlight w:val="white"/>
                <w:lang w:val="en-US" w:eastAsia="zh-CN"/>
              </w:rPr>
              <w:t xml:space="preserve">或软件采购合同（含使用授权）并加盖</w:t>
            </w:r>
            <w:r>
              <w:rPr>
                <w:rFonts w:hint="eastAsia" w:ascii="宋体" w:eastAsia="宋体" w:cs="宋体"/>
                <w:b/>
                <w:bCs/>
                <w:color w:val="000000"/>
                <w:sz w:val="24"/>
                <w:szCs w:val="24"/>
                <w:highlight w:val="white"/>
                <w:lang w:val="en-US" w:eastAsia="zh-CN"/>
              </w:rPr>
              <w:t xml:space="preserve">投标人</w:t>
            </w:r>
            <w:r>
              <w:rPr>
                <w:rFonts w:hint="eastAsia" w:ascii="宋体" w:hAnsi="宋体" w:eastAsia="宋体" w:cs="宋体"/>
                <w:b/>
                <w:bCs/>
                <w:color w:val="000000"/>
                <w:sz w:val="24"/>
                <w:szCs w:val="24"/>
                <w:highlight w:val="white"/>
                <w:lang w:val="en-US" w:eastAsia="zh-CN"/>
              </w:rPr>
              <w:t xml:space="preserve">单位公章。</w:t>
            </w:r>
            <w:r>
              <w:rPr>
                <w:highlight w:val="white"/>
              </w:rPr>
            </w:r>
          </w:p>
        </w:tc>
      </w:tr>
      <w:tr>
        <w:trPr>
          <w:jc w:val="center"/>
          <w:trHeight w:val="711"/>
        </w:trPr>
        <w:tc>
          <w:tcPr>
            <w:tcBorders>
              <w:left w:val="single" w:color="auto" w:sz="4" w:space="0"/>
              <w:right w:val="single" w:color="auto" w:sz="4" w:space="0"/>
            </w:tcBorders>
            <w:tcW w:w="29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left w:val="single" w:color="auto" w:sz="4" w:space="0"/>
              <w:right w:val="single" w:color="auto" w:sz="4" w:space="0"/>
            </w:tcBorders>
            <w:tcW w:w="539" w:type="pct"/>
            <w:vAlign w:val="center"/>
            <w:vMerge w:val="continue"/>
            <w:textDirection w:val="lrTb"/>
            <w:noWrap w:val="false"/>
          </w:tcPr>
          <w:p>
            <w:pPr>
              <w:pStyle w:val="687"/>
              <w:ind w:left="0" w:firstLine="0"/>
              <w:jc w:val="center"/>
              <w:keepLines w:val="0"/>
              <w:keepNext w:val="0"/>
              <w:pageBreakBefore w:val="0"/>
              <w:spacing w:line="36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Borders>
              <w:left w:val="single" w:color="auto" w:sz="4" w:space="0"/>
              <w:right w:val="single" w:color="auto" w:sz="4" w:space="0"/>
            </w:tcBorders>
            <w:tcW w:w="647"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auto" w:sz="4" w:space="0"/>
              <w:left w:val="single" w:color="auto" w:sz="4" w:space="0"/>
              <w:right w:val="single" w:color="auto" w:sz="4" w:space="0"/>
            </w:tcBorders>
            <w:tcW w:w="345"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投标供应商在本项目中使用的测绘地理信息类软件系统通过国家认可的具有测评能力的机构测评的得2分。</w:t>
            </w:r>
            <w:r/>
          </w:p>
          <w:p>
            <w:pPr>
              <w:pStyle w:val="710"/>
              <w:ind w:left="0" w:firstLine="482"/>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注：提供软件测评报告、产权证明材料（非自有，还需取得使用权）并加盖</w:t>
            </w:r>
            <w:r>
              <w:rPr>
                <w:rFonts w:hint="eastAsia" w:asci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lang w:val="en-US" w:eastAsia="zh-CN"/>
              </w:rPr>
              <w:t xml:space="preserve">公章。</w:t>
            </w:r>
            <w:r/>
          </w:p>
        </w:tc>
      </w:tr>
      <w:tr>
        <w:trPr>
          <w:jc w:val="center"/>
          <w:trHeight w:val="711"/>
        </w:trPr>
        <w:tc>
          <w:tcPr>
            <w:tcBorders>
              <w:left w:val="single" w:color="auto" w:sz="4" w:space="0"/>
              <w:right w:val="single" w:color="auto" w:sz="4" w:space="0"/>
            </w:tcBorders>
            <w:tcW w:w="29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left w:val="single" w:color="auto" w:sz="4" w:space="0"/>
              <w:right w:val="single" w:color="auto" w:sz="4" w:space="0"/>
            </w:tcBorders>
            <w:tcW w:w="539" w:type="pct"/>
            <w:vAlign w:val="center"/>
            <w:vMerge w:val="continue"/>
            <w:textDirection w:val="lrTb"/>
            <w:noWrap w:val="false"/>
          </w:tcPr>
          <w:p>
            <w:pPr>
              <w:pStyle w:val="687"/>
              <w:ind w:left="0" w:firstLine="0"/>
              <w:jc w:val="center"/>
              <w:keepLines w:val="0"/>
              <w:keepNext w:val="0"/>
              <w:pageBreakBefore w:val="0"/>
              <w:spacing w:line="36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Borders>
              <w:left w:val="single" w:color="auto" w:sz="4" w:space="0"/>
              <w:right w:val="single" w:color="auto" w:sz="4" w:space="0"/>
            </w:tcBorders>
            <w:tcW w:w="647"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auto" w:sz="4" w:space="0"/>
              <w:left w:val="single" w:color="auto" w:sz="4" w:space="0"/>
              <w:right w:val="single" w:color="auto" w:sz="4" w:space="0"/>
            </w:tcBorders>
            <w:tcW w:w="34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pStyle w:val="710"/>
              <w:numPr>
                <w:ilvl w:val="0"/>
                <w:numId w:val="0"/>
              </w:numPr>
              <w:ind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white"/>
              </w:rPr>
            </w:pPr>
            <w:r>
              <w:rPr>
                <w:rFonts w:hint="eastAsia" w:ascii="宋体" w:eastAsia="宋体" w:cs="宋体"/>
                <w:b w:val="0"/>
                <w:bCs w:val="0"/>
                <w:color w:val="000000"/>
                <w:sz w:val="24"/>
                <w:szCs w:val="24"/>
                <w:highlight w:val="white"/>
                <w:lang w:val="en-US" w:eastAsia="zh-CN"/>
              </w:rPr>
              <w:t xml:space="preserve">（1）</w:t>
            </w:r>
            <w:r>
              <w:rPr>
                <w:rFonts w:hint="eastAsia" w:ascii="宋体" w:hAnsi="宋体" w:eastAsia="宋体" w:cs="宋体"/>
                <w:b w:val="0"/>
                <w:bCs w:val="0"/>
                <w:color w:val="000000"/>
                <w:sz w:val="24"/>
                <w:szCs w:val="24"/>
                <w:highlight w:val="white"/>
                <w:lang w:val="en-US" w:eastAsia="zh-CN"/>
              </w:rPr>
              <w:t xml:space="preserve">供应商获得过相关主管政府部门</w:t>
            </w:r>
            <w:r>
              <w:rPr>
                <w:rFonts w:hint="eastAsia" w:ascii="宋体" w:eastAsia="宋体" w:cs="宋体"/>
                <w:b w:val="0"/>
                <w:bCs w:val="0"/>
                <w:color w:val="000000"/>
                <w:sz w:val="24"/>
                <w:szCs w:val="24"/>
                <w:highlight w:val="white"/>
                <w:lang w:val="en-US" w:eastAsia="zh-CN"/>
              </w:rPr>
              <w:t xml:space="preserve">或行业协会</w:t>
            </w:r>
            <w:r>
              <w:rPr>
                <w:rFonts w:hint="eastAsia" w:ascii="宋体" w:hAnsi="宋体" w:eastAsia="宋体" w:cs="宋体"/>
                <w:b w:val="0"/>
                <w:bCs w:val="0"/>
                <w:color w:val="000000"/>
                <w:sz w:val="24"/>
                <w:szCs w:val="24"/>
                <w:highlight w:val="white"/>
                <w:lang w:val="en-US" w:eastAsia="zh-CN"/>
              </w:rPr>
              <w:t xml:space="preserve">颁发的“诚信单位”荣誉称号的得1分。</w:t>
            </w:r>
            <w:r>
              <w:rPr>
                <w:highlight w:val="white"/>
              </w:rPr>
            </w:r>
          </w:p>
          <w:p>
            <w:pPr>
              <w:pStyle w:val="710"/>
              <w:numPr>
                <w:ilvl w:val="0"/>
                <w:numId w:val="0"/>
              </w:numPr>
              <w:ind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white"/>
              </w:rPr>
            </w:pPr>
            <w:r>
              <w:rPr>
                <w:rFonts w:hint="eastAsia" w:ascii="宋体" w:eastAsia="宋体" w:cs="宋体"/>
                <w:b w:val="0"/>
                <w:bCs w:val="0"/>
                <w:color w:val="000000"/>
                <w:sz w:val="24"/>
                <w:szCs w:val="24"/>
                <w:highlight w:val="white"/>
                <w:lang w:val="en-US" w:eastAsia="zh-CN"/>
              </w:rPr>
              <w:t xml:space="preserve">（2）</w:t>
            </w:r>
            <w:r>
              <w:rPr>
                <w:rFonts w:hint="eastAsia" w:ascii="宋体" w:hAnsi="宋体" w:eastAsia="宋体" w:cs="宋体"/>
                <w:b w:val="0"/>
                <w:bCs w:val="0"/>
                <w:color w:val="000000"/>
                <w:sz w:val="24"/>
                <w:szCs w:val="24"/>
                <w:highlight w:val="white"/>
                <w:lang w:val="en-US" w:eastAsia="zh-CN"/>
              </w:rPr>
              <w:t xml:space="preserve">供应商获得过相关主管政府部门或其备案的第三方信用服务机构出具的信用等级评价的得1分。</w:t>
            </w:r>
            <w:r>
              <w:rPr>
                <w:highlight w:val="white"/>
              </w:rPr>
            </w:r>
          </w:p>
          <w:p>
            <w:pPr>
              <w:pStyle w:val="710"/>
              <w:ind w:left="0" w:firstLine="482"/>
              <w:keepLines w:val="0"/>
              <w:keepNext w:val="0"/>
              <w:pageBreakBefore w:val="0"/>
              <w:spacing w:after="0" w:line="36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注：提供扫描件并加盖投标人单位的公章。</w:t>
            </w:r>
            <w:r/>
          </w:p>
        </w:tc>
      </w:tr>
      <w:tr>
        <w:trPr>
          <w:jc w:val="center"/>
          <w:trHeight w:val="90"/>
        </w:trPr>
        <w:tc>
          <w:tcPr>
            <w:tcBorders>
              <w:left w:val="single" w:color="auto" w:sz="4" w:space="0"/>
              <w:right w:val="single" w:color="auto" w:sz="4" w:space="0"/>
            </w:tcBorders>
            <w:tcW w:w="29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Borders>
              <w:left w:val="single" w:color="auto" w:sz="4" w:space="0"/>
              <w:right w:val="single" w:color="auto" w:sz="4" w:space="0"/>
            </w:tcBorders>
            <w:tcW w:w="539" w:type="pct"/>
            <w:vAlign w:val="center"/>
            <w:vMerge w:val="continue"/>
            <w:textDirection w:val="lrTb"/>
            <w:noWrap w:val="false"/>
          </w:tcPr>
          <w:p>
            <w:pP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auto" w:sz="4" w:space="0"/>
              <w:left w:val="single" w:color="auto" w:sz="4" w:space="0"/>
              <w:right w:val="single" w:color="auto" w:sz="4" w:space="0"/>
            </w:tcBorders>
            <w:tcW w:w="647"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w:t>
            </w:r>
            <w:r/>
          </w:p>
        </w:tc>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（1）项目负责人：具有</w:t>
            </w:r>
            <w:r>
              <w:rPr>
                <w:rFonts w:hint="eastAsia" w:ascii="宋体" w:hAnsi="宋体" w:eastAsia="宋体" w:cs="宋体"/>
                <w:b w:val="0"/>
                <w:bCs w:val="0"/>
                <w:color w:val="000000"/>
                <w:sz w:val="24"/>
                <w:szCs w:val="24"/>
                <w:highlight w:val="none"/>
                <w:lang w:val="zh-CN" w:eastAsia="zh-CN"/>
              </w:rPr>
              <w:t xml:space="preserve">测绘地理信息类</w:t>
            </w:r>
            <w:r>
              <w:rPr>
                <w:rFonts w:hint="eastAsia" w:ascii="宋体" w:eastAsia="宋体" w:cs="宋体"/>
                <w:b w:val="0"/>
                <w:bCs w:val="0"/>
                <w:color w:val="000000"/>
                <w:sz w:val="24"/>
                <w:szCs w:val="24"/>
                <w:highlight w:val="none"/>
                <w:lang w:val="en-US" w:eastAsia="zh-CN"/>
              </w:rPr>
              <w:t xml:space="preserve">中级及以上</w:t>
            </w:r>
            <w:r>
              <w:rPr>
                <w:rFonts w:hint="eastAsia" w:ascii="宋体" w:hAnsi="宋体" w:eastAsia="宋体" w:cs="宋体"/>
                <w:b w:val="0"/>
                <w:bCs w:val="0"/>
                <w:color w:val="000000"/>
                <w:sz w:val="24"/>
                <w:szCs w:val="24"/>
                <w:highlight w:val="none"/>
                <w:lang w:val="zh-CN" w:eastAsia="zh-CN"/>
              </w:rPr>
              <w:t xml:space="preserve">技术职称及注册测绘师资格的得2分；</w:t>
            </w:r>
            <w:r>
              <w:rPr>
                <w:rFonts w:hint="eastAsia" w:ascii="宋体" w:hAnsi="宋体" w:eastAsia="宋体" w:cs="宋体"/>
                <w:b w:val="0"/>
                <w:bCs w:val="0"/>
                <w:color w:val="000000"/>
                <w:sz w:val="24"/>
                <w:szCs w:val="24"/>
                <w:highlight w:val="none"/>
                <w:lang w:val="en-US" w:eastAsia="zh-CN"/>
              </w:rPr>
              <w:t xml:space="preserve">具有涉密测绘成果管理人员岗位培训证书或测绘保密知识培训证书的，加1分；本项最高得3分。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（2）技术负责人：具有</w:t>
            </w:r>
            <w:r>
              <w:rPr>
                <w:rFonts w:hint="eastAsia" w:ascii="宋体" w:hAnsi="宋体" w:eastAsia="宋体" w:cs="宋体"/>
                <w:b w:val="0"/>
                <w:bCs w:val="0"/>
                <w:color w:val="000000"/>
                <w:sz w:val="24"/>
                <w:szCs w:val="24"/>
                <w:highlight w:val="none"/>
                <w:lang w:val="zh-CN" w:eastAsia="zh-CN"/>
              </w:rPr>
              <w:t xml:space="preserve">测绘地理信息类</w:t>
            </w:r>
            <w:r>
              <w:rPr>
                <w:rFonts w:hint="eastAsia" w:ascii="宋体" w:eastAsia="宋体" w:cs="宋体"/>
                <w:b w:val="0"/>
                <w:bCs w:val="0"/>
                <w:color w:val="000000"/>
                <w:sz w:val="24"/>
                <w:szCs w:val="24"/>
                <w:highlight w:val="none"/>
                <w:lang w:val="en-US" w:eastAsia="zh-CN"/>
              </w:rPr>
              <w:t xml:space="preserve">中级及以上</w:t>
            </w:r>
            <w:r>
              <w:rPr>
                <w:rFonts w:hint="eastAsia" w:ascii="宋体" w:hAnsi="宋体" w:eastAsia="宋体" w:cs="宋体"/>
                <w:b w:val="0"/>
                <w:bCs w:val="0"/>
                <w:color w:val="000000"/>
                <w:sz w:val="24"/>
                <w:szCs w:val="24"/>
                <w:highlight w:val="none"/>
                <w:lang w:val="zh-CN" w:eastAsia="zh-CN"/>
              </w:rPr>
              <w:t xml:space="preserve">技术职称及注册测绘师资格的得2分</w:t>
            </w:r>
            <w:r>
              <w:rPr>
                <w:rFonts w:hint="eastAsia" w:ascii="宋体" w:hAnsi="宋体" w:eastAsia="宋体" w:cs="宋体"/>
                <w:b w:val="0"/>
                <w:bCs w:val="0"/>
                <w:color w:val="000000"/>
                <w:sz w:val="24"/>
                <w:szCs w:val="24"/>
                <w:highlight w:val="none"/>
                <w:lang w:val="en-US" w:eastAsia="zh-CN"/>
              </w:rPr>
              <w:t xml:space="preserve">；具有涉密测绘成果管理人员岗位培训证书或测绘保密知识培训证书的，加1分；本项最高得3分。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lang w:val="zh-CN" w:eastAsia="zh-CN"/>
              </w:rPr>
              <w:t xml:space="preserve">安全负责人具有测绘地理信息类</w:t>
            </w:r>
            <w:r>
              <w:rPr>
                <w:rFonts w:hint="eastAsia" w:ascii="宋体" w:eastAsia="宋体" w:cs="宋体"/>
                <w:b w:val="0"/>
                <w:bCs w:val="0"/>
                <w:color w:val="000000"/>
                <w:sz w:val="24"/>
                <w:szCs w:val="24"/>
                <w:highlight w:val="white"/>
                <w:lang w:val="en-US" w:eastAsia="zh-CN"/>
              </w:rPr>
              <w:t xml:space="preserve">中级</w:t>
            </w:r>
            <w:r>
              <w:rPr>
                <w:rFonts w:hint="eastAsia" w:ascii="宋体" w:hAnsi="宋体" w:eastAsia="宋体" w:cs="宋体"/>
                <w:b w:val="0"/>
                <w:bCs w:val="0"/>
                <w:color w:val="000000"/>
                <w:sz w:val="24"/>
                <w:szCs w:val="24"/>
                <w:highlight w:val="white"/>
                <w:lang w:val="zh-CN" w:eastAsia="zh-CN"/>
              </w:rPr>
              <w:t xml:space="preserve">及以上技术职称</w:t>
            </w:r>
            <w:r>
              <w:rPr>
                <w:rFonts w:hint="eastAsia" w:ascii="宋体" w:eastAsia="宋体" w:cs="宋体"/>
                <w:b w:val="0"/>
                <w:bCs w:val="0"/>
                <w:color w:val="000000"/>
                <w:sz w:val="24"/>
                <w:szCs w:val="24"/>
                <w:highlight w:val="white"/>
                <w:lang w:val="en-US" w:eastAsia="zh-CN"/>
              </w:rPr>
              <w:t xml:space="preserve">或</w:t>
            </w:r>
            <w:r>
              <w:rPr>
                <w:rFonts w:hint="eastAsia" w:ascii="宋体" w:hAnsi="宋体" w:eastAsia="宋体" w:cs="宋体"/>
                <w:b w:val="0"/>
                <w:bCs w:val="0"/>
                <w:color w:val="000000"/>
                <w:sz w:val="24"/>
                <w:szCs w:val="24"/>
                <w:highlight w:val="white"/>
                <w:lang w:val="zh-CN" w:eastAsia="zh-CN"/>
              </w:rPr>
              <w:t xml:space="preserve">注册安全工程师的得2分</w:t>
            </w:r>
            <w:r>
              <w:rPr>
                <w:rFonts w:hint="eastAsia" w:ascii="宋体" w:eastAsia="宋体" w:cs="宋体"/>
                <w:b w:val="0"/>
                <w:bCs w:val="0"/>
                <w:color w:val="000000"/>
                <w:sz w:val="24"/>
                <w:szCs w:val="24"/>
                <w:highlight w:val="white"/>
                <w:lang w:val="zh-CN" w:eastAsia="zh-CN"/>
              </w:rPr>
              <w:t xml:space="preserve">，</w:t>
            </w:r>
            <w:r>
              <w:rPr>
                <w:rFonts w:hint="eastAsia" w:ascii="宋体" w:hAnsi="宋体" w:eastAsia="宋体" w:cs="宋体"/>
                <w:b w:val="0"/>
                <w:bCs w:val="0"/>
                <w:color w:val="000000"/>
                <w:sz w:val="24"/>
                <w:szCs w:val="24"/>
                <w:highlight w:val="white"/>
                <w:lang w:val="en-US" w:eastAsia="zh-CN"/>
              </w:rPr>
              <w:t xml:space="preserve">本项最高得2分。</w:t>
            </w:r>
            <w:r>
              <w:rPr>
                <w:highlight w:val="white"/>
              </w:rP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（4）拟投入本项目团队人员：</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①具有涉密测绘成果管理人员岗位培训证书或测绘保密知识培训证书的每人得</w:t>
            </w:r>
            <w:r>
              <w:rPr>
                <w:rFonts w:hint="eastAsia" w:ascii="宋体" w:eastAsia="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lang w:val="en-US" w:eastAsia="zh-CN"/>
              </w:rPr>
              <w:t xml:space="preserve">分，最高得3分；</w:t>
            </w:r>
            <w:r/>
          </w:p>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②具有</w:t>
            </w:r>
            <w:r>
              <w:rPr>
                <w:rFonts w:hint="eastAsia" w:ascii="宋体" w:eastAsia="宋体" w:cs="宋体"/>
                <w:b w:val="0"/>
                <w:bCs w:val="0"/>
                <w:color w:val="000000"/>
                <w:sz w:val="24"/>
                <w:szCs w:val="24"/>
                <w:highlight w:val="white"/>
                <w:lang w:val="en-US" w:eastAsia="zh-CN"/>
              </w:rPr>
              <w:t xml:space="preserve">城乡规划类或测绘地理信息类中级及以上职称</w:t>
            </w:r>
            <w:r>
              <w:rPr>
                <w:rFonts w:hint="eastAsia" w:ascii="宋体" w:hAnsi="宋体" w:eastAsia="宋体" w:cs="宋体"/>
                <w:b w:val="0"/>
                <w:bCs w:val="0"/>
                <w:color w:val="000000"/>
                <w:sz w:val="24"/>
                <w:szCs w:val="24"/>
                <w:highlight w:val="white"/>
                <w:lang w:val="en-US" w:eastAsia="zh-CN"/>
              </w:rPr>
              <w:t xml:space="preserve">的得</w:t>
            </w:r>
            <w:r>
              <w:rPr>
                <w:rFonts w:hint="eastAsia" w:ascii="宋体" w:eastAsia="宋体" w:cs="宋体"/>
                <w:b w:val="0"/>
                <w:bCs w:val="0"/>
                <w:color w:val="000000"/>
                <w:sz w:val="24"/>
                <w:szCs w:val="24"/>
                <w:highlight w:val="white"/>
                <w:lang w:val="en-US" w:eastAsia="zh-CN"/>
              </w:rPr>
              <w:t xml:space="preserve">0.5</w:t>
            </w:r>
            <w:r>
              <w:rPr>
                <w:rFonts w:hint="eastAsia" w:ascii="宋体" w:hAnsi="宋体" w:eastAsia="宋体" w:cs="宋体"/>
                <w:b w:val="0"/>
                <w:bCs w:val="0"/>
                <w:color w:val="000000"/>
                <w:sz w:val="24"/>
                <w:szCs w:val="24"/>
                <w:highlight w:val="white"/>
                <w:lang w:val="en-US" w:eastAsia="zh-CN"/>
              </w:rPr>
              <w:t xml:space="preserve">分，最高得2分；</w:t>
            </w:r>
            <w:r>
              <w:rPr>
                <w:highlight w:val="white"/>
              </w:rPr>
            </w:r>
          </w:p>
          <w:p>
            <w:pPr>
              <w:pStyle w:val="710"/>
              <w:ind w:left="0" w:firstLine="480"/>
              <w:keepLines w:val="0"/>
              <w:keepNext w:val="0"/>
              <w:pageBreakBefore w:val="0"/>
              <w:spacing w:after="0" w:line="36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③具有注册测绘师的每人得</w:t>
            </w:r>
            <w:r>
              <w:rPr>
                <w:rFonts w:hint="eastAsia" w:ascii="宋体" w:eastAsia="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lang w:val="en-US" w:eastAsia="zh-CN"/>
              </w:rPr>
              <w:t xml:space="preserve">分，最高得2分。</w:t>
            </w:r>
            <w:r/>
          </w:p>
          <w:p>
            <w:pPr>
              <w:pStyle w:val="710"/>
              <w:ind w:left="0" w:firstLine="482"/>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zh-CN" w:eastAsia="zh-CN"/>
              </w:rPr>
              <w:t xml:space="preserve">以上人员不得重复，如有重复该人员不计分。</w:t>
            </w:r>
            <w:r>
              <w:rPr>
                <w:rFonts w:hint="eastAsia" w:ascii="宋体" w:hAnsi="宋体" w:eastAsia="宋体" w:cs="宋体"/>
                <w:b/>
                <w:bCs/>
                <w:color w:val="000000"/>
                <w:sz w:val="24"/>
                <w:szCs w:val="24"/>
                <w:highlight w:val="none"/>
                <w:lang w:val="en-US" w:eastAsia="zh-CN"/>
              </w:rPr>
              <w:t xml:space="preserve">须提供相关证书、证明文件和供应商为其缴纳的近3个月内其中1个月社保缴纳证明扫描件并加盖单位公章，未提供不得分。</w:t>
            </w:r>
            <w:r/>
          </w:p>
        </w:tc>
      </w:tr>
      <w:tr>
        <w:trPr>
          <w:jc w:val="center"/>
          <w:trHeight w:val="788"/>
        </w:trPr>
        <w:tc>
          <w:tcPr>
            <w:tcBorders>
              <w:left w:val="single" w:color="auto" w:sz="4" w:space="0"/>
              <w:right w:val="single" w:color="auto" w:sz="4" w:space="0"/>
            </w:tcBorders>
            <w:tcW w:w="29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Borders>
              <w:left w:val="single" w:color="auto" w:sz="4" w:space="0"/>
              <w:right w:val="single" w:color="auto" w:sz="4" w:space="0"/>
            </w:tcBorders>
            <w:tcW w:w="539"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47"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pStyle w:val="710"/>
              <w:ind w:left="0" w:firstLine="480"/>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投标供应商提供2022年1月1日以来（以合同签订时间为准）承担过农村乱占耕地建房（住宅类）房屋专项整治类似项目业绩的，每个得</w:t>
            </w:r>
            <w:r>
              <w:rPr>
                <w:rFonts w:hint="eastAsia" w:asci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分，最高得</w:t>
            </w:r>
            <w:r>
              <w:rPr>
                <w:rFonts w:hint="eastAsia" w:asci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w:t>
            </w:r>
            <w:r/>
          </w:p>
          <w:p>
            <w:pPr>
              <w:pStyle w:val="710"/>
              <w:ind w:left="0" w:firstLine="482"/>
              <w:keepLines w:val="0"/>
              <w:keepNext w:val="0"/>
              <w:pageBreakBefore w:val="0"/>
              <w:spacing w:after="0"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注：须提供合同扫描件加盖</w:t>
            </w:r>
            <w:r>
              <w:rPr>
                <w:rFonts w:hint="eastAsia" w:asci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lang w:val="en-US" w:eastAsia="zh-CN"/>
              </w:rPr>
              <w:t xml:space="preserve">公章</w:t>
            </w:r>
            <w:r>
              <w:rPr>
                <w:rFonts w:hint="eastAsia" w:ascii="宋体" w:eastAsia="宋体" w:cs="宋体"/>
                <w:b/>
                <w:bCs/>
                <w:color w:val="000000"/>
                <w:sz w:val="24"/>
                <w:szCs w:val="24"/>
                <w:highlight w:val="none"/>
                <w:lang w:val="en-US" w:eastAsia="zh-CN"/>
              </w:rPr>
              <w:t xml:space="preserve">或县级及以上主管政府部门出具的有效证明的扫描件并加盖投标人公章</w:t>
            </w:r>
            <w:r>
              <w:rPr>
                <w:rFonts w:hint="eastAsia" w:ascii="宋体" w:hAnsi="宋体" w:eastAsia="宋体" w:cs="宋体"/>
                <w:b/>
                <w:bCs/>
                <w:color w:val="000000"/>
                <w:sz w:val="24"/>
                <w:szCs w:val="24"/>
                <w:highlight w:val="none"/>
                <w:lang w:val="en-US" w:eastAsia="zh-CN"/>
              </w:rPr>
              <w:t xml:space="preserve">，否则不得分。</w:t>
            </w:r>
            <w:r/>
          </w:p>
        </w:tc>
      </w:tr>
    </w:tbl>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75"/>
        <w:jc w:val="center"/>
      </w:pPr>
      <w:r/>
      <w:bookmarkStart w:id="155" w:name="_Toc1234"/>
      <w:r>
        <w:rPr>
          <w:rFonts w:hint="eastAsia"/>
        </w:rPr>
        <w:t xml:space="preserve">第六章</w:t>
      </w:r>
      <w:r>
        <w:rPr>
          <w:rFonts w:hint="eastAsia"/>
          <w:lang w:val="en-US" w:eastAsia="zh-CN"/>
        </w:rPr>
        <w:t xml:space="preserve">  </w:t>
      </w:r>
      <w:r>
        <w:rPr>
          <w:rFonts w:hint="eastAsia"/>
        </w:rPr>
        <w:t xml:space="preserve">投标文件格式</w:t>
      </w:r>
      <w:bookmarkEnd w:id="155"/>
      <w:r/>
      <w:r/>
    </w:p>
    <w:p>
      <w:pPr>
        <w:pStyle w:val="708"/>
        <w:jc w:val="center"/>
        <w:spacing w:beforeAutospacing="0" w:afterAutospacing="0"/>
        <w:rPr>
          <w:highlight w:val="none"/>
        </w:rPr>
      </w:pPr>
      <w:r/>
      <w:bookmarkStart w:id="156" w:name="_Hlt26955039"/>
      <w:r/>
      <w:bookmarkEnd w:id="156"/>
      <w:r/>
      <w:bookmarkStart w:id="157" w:name="_Toc26554094"/>
      <w:r/>
      <w:bookmarkEnd w:id="157"/>
      <w:r/>
      <w:bookmarkStart w:id="158" w:name="_Hlt26671244"/>
      <w:r/>
      <w:bookmarkEnd w:id="158"/>
      <w:r/>
      <w:bookmarkStart w:id="159" w:name="_Toc120614282"/>
      <w:r/>
      <w:bookmarkStart w:id="160" w:name="_Toc49090576"/>
      <w:r>
        <w:rPr>
          <w:rFonts w:hint="eastAsia" w:ascii="宋体" w:hAnsi="宋体" w:eastAsia="宋体" w:cs="宋体"/>
          <w:b/>
          <w:color w:val="000000"/>
          <w:sz w:val="72"/>
          <w:szCs w:val="72"/>
          <w:highlight w:val="none"/>
        </w:rPr>
        <w:t xml:space="preserve">投  标  文  件</w:t>
      </w:r>
      <w:r/>
    </w:p>
    <w:p>
      <w:pPr>
        <w:pStyle w:val="708"/>
        <w:jc w:val="center"/>
        <w:spacing w:beforeAutospacing="0" w:afterAutospacing="0"/>
        <w:rPr>
          <w:highlight w:val="none"/>
        </w:rPr>
      </w:pPr>
      <w:r>
        <w:rPr>
          <w:highlight w:val="none"/>
        </w:rPr>
        <w:t xml:space="preserve"> </w:t>
      </w:r>
      <w:r/>
    </w:p>
    <w:p>
      <w:pPr>
        <w:pStyle w:val="708"/>
        <w:jc w:val="center"/>
        <w:spacing w:beforeAutospacing="0" w:afterAutospacing="0"/>
        <w:rPr>
          <w:highlight w:val="none"/>
        </w:rPr>
      </w:pPr>
      <w:r>
        <w:rPr>
          <w:highlight w:val="none"/>
        </w:rPr>
        <w:t xml:space="preserve"> </w:t>
      </w:r>
      <w:r/>
    </w:p>
    <w:p>
      <w:pPr>
        <w:pStyle w:val="708"/>
        <w:jc w:val="center"/>
        <w:spacing w:beforeAutospacing="0" w:afterAutospacing="0"/>
        <w:rPr>
          <w:highlight w:val="none"/>
        </w:rPr>
      </w:pPr>
      <w:r>
        <w:rPr>
          <w:highlight w:val="none"/>
        </w:rPr>
        <w:t xml:space="preserve"> </w:t>
      </w:r>
      <w:r/>
    </w:p>
    <w:p>
      <w:pPr>
        <w:pStyle w:val="708"/>
        <w:jc w:val="center"/>
        <w:spacing w:beforeAutospacing="0" w:afterAutospacing="0"/>
        <w:rPr>
          <w:highlight w:val="none"/>
        </w:rPr>
      </w:pPr>
      <w:r>
        <w:rPr>
          <w:highlight w:val="none"/>
        </w:rPr>
        <w:t xml:space="preserve"> </w:t>
      </w:r>
      <w:r/>
    </w:p>
    <w:p>
      <w:pPr>
        <w:pStyle w:val="708"/>
        <w:jc w:val="center"/>
        <w:spacing w:beforeAutospacing="0" w:afterAutospacing="0"/>
        <w:rPr>
          <w:highlight w:val="none"/>
        </w:rPr>
      </w:pPr>
      <w:r>
        <w:rPr>
          <w:highlight w:val="none"/>
        </w:rPr>
        <w:t xml:space="preserve"> </w:t>
      </w:r>
      <w:r/>
    </w:p>
    <w:p>
      <w:pPr>
        <w:pStyle w:val="708"/>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708"/>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708"/>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        </w:t>
      </w:r>
      <w:r/>
    </w:p>
    <w:p>
      <w:pPr>
        <w:pStyle w:val="708"/>
        <w:jc w:val="both"/>
        <w:spacing w:beforeAutospacing="0" w:afterAutospacing="0"/>
        <w:rPr>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p>
    <w:p>
      <w:pPr>
        <w:pStyle w:val="70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0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0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0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0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0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0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0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0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0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0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708"/>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708"/>
        <w:jc w:val="center"/>
        <w:spacing w:beforeAutospacing="0" w:afterAutospacing="0" w:line="0" w:lineRule="atLeast"/>
        <w:rPr>
          <w:highlight w:val="none"/>
        </w:rPr>
      </w:pPr>
      <w:r>
        <w:rPr>
          <w:highlight w:val="none"/>
        </w:rPr>
      </w:r>
      <w:r/>
    </w:p>
    <w:p>
      <w:pPr>
        <w:pStyle w:val="708"/>
        <w:numPr>
          <w:ilvl w:val="0"/>
          <w:numId w:val="0"/>
        </w:numPr>
        <w:ind w:firstLine="480"/>
        <w:jc w:val="both"/>
        <w:keepLines w:val="0"/>
        <w:keepNext w:val="0"/>
        <w:pageBreakBefore w:val="0"/>
        <w:spacing w:beforeAutospacing="0" w:afterAutospacing="0" w:line="36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法人或者其他组织的营业执照等证明文件，自然人的身份证明</w:t>
      </w:r>
      <w:r/>
    </w:p>
    <w:p>
      <w:pPr>
        <w:pStyle w:val="708"/>
        <w:numPr>
          <w:ilvl w:val="0"/>
          <w:numId w:val="0"/>
        </w:numPr>
        <w:ind w:firstLine="480"/>
        <w:jc w:val="both"/>
        <w:keepLines w:val="0"/>
        <w:keepNext w:val="0"/>
        <w:pageBreakBefore w:val="0"/>
        <w:spacing w:beforeAutospacing="0" w:afterAutospacing="0" w:line="360" w:lineRule="exact"/>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二、上一年度的财务状况报告（至少提供资产负债表、利润表、现金流量表，投标人成立不满一年无需提供）</w:t>
      </w:r>
      <w:r/>
    </w:p>
    <w:p>
      <w:pPr>
        <w:pStyle w:val="708"/>
        <w:ind w:firstLine="480"/>
        <w:jc w:val="both"/>
        <w:keepLines w:val="0"/>
        <w:keepNext w:val="0"/>
        <w:pageBreakBefore w:val="0"/>
        <w:spacing w:beforeAutospacing="0" w:afterAutospacing="0" w:line="36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708"/>
        <w:ind w:firstLine="480"/>
        <w:jc w:val="both"/>
        <w:keepLines w:val="0"/>
        <w:keepNext w:val="0"/>
        <w:pageBreakBefore w:val="0"/>
        <w:spacing w:beforeAutospacing="0" w:afterAutospacing="0" w:line="36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08"/>
        <w:ind w:firstLine="480"/>
        <w:jc w:val="both"/>
        <w:keepLines w:val="0"/>
        <w:keepNext w:val="0"/>
        <w:pageBreakBefore w:val="0"/>
        <w:spacing w:beforeAutospacing="0" w:afterAutospacing="0" w:line="36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708"/>
        <w:ind w:firstLine="480"/>
        <w:jc w:val="both"/>
        <w:pageBreakBefore w:val="0"/>
        <w:spacing w:beforeAutospacing="0" w:afterAutospacing="0" w:line="360" w:lineRule="exact"/>
        <w:rPr>
          <w:rFonts w:hint="eastAsia" w:ascii="宋体" w:hAnsi="宋体" w:eastAsia="宋体" w:cs="宋体"/>
          <w:color w:val="000000"/>
          <w:sz w:val="24"/>
          <w:szCs w:val="24"/>
          <w:highlight w:val="none"/>
          <w:lang w:eastAsia="zh-CN"/>
        </w:rPr>
      </w:pP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格式自拟</w:t>
      </w:r>
      <w:r>
        <w:rPr>
          <w:rFonts w:hint="eastAsia" w:ascii="宋体" w:hAnsi="宋体" w:eastAsia="宋体" w:cs="宋体"/>
          <w:color w:val="000000"/>
          <w:sz w:val="24"/>
          <w:szCs w:val="24"/>
          <w:highlight w:val="none"/>
          <w:lang w:eastAsia="zh-CN"/>
        </w:rPr>
        <w:t xml:space="preserve">）</w:t>
      </w:r>
      <w:r/>
    </w:p>
    <w:p>
      <w:pPr>
        <w:pStyle w:val="708"/>
        <w:ind w:firstLine="480"/>
        <w:jc w:val="both"/>
        <w:keepLines w:val="0"/>
        <w:keepNext w:val="0"/>
        <w:pageBreakBefore w:val="0"/>
        <w:spacing w:beforeAutospacing="0" w:afterAutospacing="0" w:line="3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、特定资格要求的证明文件（本项目设置特定资格要求，需要提供</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color w:val="000000"/>
          <w:sz w:val="24"/>
          <w:szCs w:val="24"/>
          <w:highlight w:val="none"/>
          <w:lang w:val="en-US" w:eastAsia="zh-CN"/>
        </w:rPr>
        <w:t xml:space="preserve">测绘地理信息主管部门颁发的乙级及以上测绘资质证书。</w:t>
      </w:r>
      <w:r>
        <w:rPr>
          <w:rFonts w:hint="eastAsia" w:ascii="宋体" w:hAnsi="宋体" w:eastAsia="宋体" w:cs="宋体"/>
          <w:i w:val="0"/>
          <w:iCs/>
          <w:color w:val="000000"/>
          <w:highlight w:val="none"/>
          <w:u w:val="none"/>
        </w:rPr>
        <w:t xml:space="preserve">）</w:t>
      </w:r>
      <w:r/>
    </w:p>
    <w:p>
      <w:pPr>
        <w:pStyle w:val="708"/>
        <w:ind w:left="480"/>
        <w:jc w:val="both"/>
        <w:keepLines w:val="0"/>
        <w:keepNext w:val="0"/>
        <w:pageBreakBefore w:val="0"/>
        <w:spacing w:beforeAutospacing="0" w:afterAutospacing="0" w:line="360" w:lineRule="exac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、法定代表人身份证明书</w:t>
      </w:r>
      <w:r/>
    </w:p>
    <w:p>
      <w:pPr>
        <w:pStyle w:val="708"/>
        <w:ind w:left="480"/>
        <w:jc w:val="both"/>
        <w:keepLines w:val="0"/>
        <w:keepNext w:val="0"/>
        <w:pageBreakBefore w:val="0"/>
        <w:spacing w:beforeAutospacing="0" w:afterAutospacing="0" w:line="360" w:lineRule="exact"/>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九、投标</w:t>
      </w:r>
      <w:r>
        <w:rPr>
          <w:rFonts w:hint="eastAsia" w:ascii="宋体" w:hAnsi="宋体" w:eastAsia="宋体" w:cs="宋体"/>
          <w:i w:val="0"/>
          <w:iCs/>
          <w:color w:val="000000"/>
          <w:highlight w:val="none"/>
          <w:u w:val="none"/>
          <w:lang w:eastAsia="zh-CN"/>
        </w:rPr>
        <w:t xml:space="preserve">文件</w:t>
      </w:r>
      <w:r>
        <w:rPr>
          <w:rFonts w:hint="eastAsia" w:ascii="宋体" w:hAnsi="宋体" w:eastAsia="宋体" w:cs="宋体"/>
          <w:i w:val="0"/>
          <w:iCs/>
          <w:color w:val="000000"/>
          <w:highlight w:val="none"/>
          <w:u w:val="none"/>
        </w:rPr>
        <w:t xml:space="preserve">签署授权委托书</w:t>
      </w:r>
      <w:r/>
    </w:p>
    <w:p>
      <w:pPr>
        <w:pStyle w:val="708"/>
        <w:ind w:left="480"/>
        <w:jc w:val="both"/>
        <w:keepLines w:val="0"/>
        <w:keepNext w:val="0"/>
        <w:pageBreakBefore w:val="0"/>
        <w:spacing w:beforeAutospacing="0" w:afterAutospacing="0" w:line="3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w:t>
      </w:r>
      <w:r>
        <w:rPr>
          <w:rFonts w:hint="eastAsia" w:ascii="宋体" w:hAnsi="宋体" w:eastAsia="宋体" w:cs="宋体"/>
          <w:i w:val="0"/>
          <w:iCs/>
          <w:color w:val="000000"/>
          <w:highlight w:val="none"/>
          <w:u w:val="none"/>
        </w:rPr>
        <w:t xml:space="preserve">、投标函</w:t>
      </w:r>
      <w:r/>
    </w:p>
    <w:p>
      <w:pPr>
        <w:pStyle w:val="708"/>
        <w:ind w:firstLine="480"/>
        <w:jc w:val="both"/>
        <w:keepLines w:val="0"/>
        <w:keepNext w:val="0"/>
        <w:pageBreakBefore w:val="0"/>
        <w:spacing w:beforeAutospacing="0" w:afterAutospacing="0" w:line="360" w:lineRule="exact"/>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708"/>
        <w:ind w:firstLine="480"/>
        <w:jc w:val="both"/>
        <w:keepLines w:val="0"/>
        <w:keepNext w:val="0"/>
        <w:pageBreakBefore w:val="0"/>
        <w:spacing w:beforeAutospacing="0" w:afterAutospacing="0" w:line="360" w:lineRule="exact"/>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、残疾人福利性单位声明函</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highlight w:val="none"/>
          <w:u w:val="none"/>
          <w:lang w:val="en-US" w:eastAsia="zh-CN"/>
        </w:rPr>
        <w:t xml:space="preserve">如有</w:t>
      </w:r>
      <w:r>
        <w:rPr>
          <w:rFonts w:hint="eastAsia" w:ascii="宋体" w:hAnsi="宋体" w:eastAsia="宋体" w:cs="宋体"/>
          <w:i w:val="0"/>
          <w:iCs/>
          <w:color w:val="000000"/>
          <w:highlight w:val="none"/>
          <w:u w:val="none"/>
          <w:lang w:eastAsia="zh-CN"/>
        </w:rPr>
        <w:t xml:space="preserve">）</w:t>
      </w:r>
      <w:r/>
    </w:p>
    <w:p>
      <w:pPr>
        <w:pStyle w:val="708"/>
        <w:ind w:firstLine="480"/>
        <w:jc w:val="both"/>
        <w:keepLines w:val="0"/>
        <w:keepNext w:val="0"/>
        <w:pageBreakBefore w:val="0"/>
        <w:spacing w:beforeAutospacing="0" w:afterAutospacing="0" w:line="3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、报价表</w:t>
      </w:r>
      <w:r/>
    </w:p>
    <w:p>
      <w:pPr>
        <w:pStyle w:val="708"/>
        <w:ind w:firstLine="480"/>
        <w:jc w:val="both"/>
        <w:keepLines w:val="0"/>
        <w:keepNext w:val="0"/>
        <w:pageBreakBefore w:val="0"/>
        <w:spacing w:beforeAutospacing="0" w:afterAutospacing="0" w:line="3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708"/>
        <w:ind w:firstLine="480"/>
        <w:jc w:val="both"/>
        <w:keepLines w:val="0"/>
        <w:keepNext w:val="0"/>
        <w:pageBreakBefore w:val="0"/>
        <w:spacing w:beforeAutospacing="0" w:afterAutospacing="0" w:line="3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708"/>
        <w:ind w:left="480"/>
        <w:jc w:val="both"/>
        <w:keepLines w:val="0"/>
        <w:keepNext w:val="0"/>
        <w:pageBreakBefore w:val="0"/>
        <w:spacing w:beforeAutospacing="0" w:afterAutospacing="0" w:line="3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sz w:val="24"/>
          <w:highlight w:val="none"/>
          <w:u w:val="none"/>
        </w:rPr>
        <w:t xml:space="preserve">技术方案、服务承诺、培训承诺等</w:t>
      </w:r>
      <w:r/>
    </w:p>
    <w:p>
      <w:pPr>
        <w:ind w:firstLine="480"/>
        <w:keepLines w:val="0"/>
        <w:keepNext w:val="0"/>
        <w:pageBreakBefore w:val="0"/>
        <w:spacing w:before="50" w:after="50" w:line="360" w:lineRule="exact"/>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w:t>
      </w:r>
      <w:r>
        <w:rPr>
          <w:rFonts w:hint="eastAsia" w:ascii="宋体" w:hAnsi="宋体" w:eastAsia="宋体" w:cs="宋体"/>
          <w:i w:val="0"/>
          <w:iCs/>
          <w:color w:val="000000"/>
          <w:highlight w:val="none"/>
          <w:u w:val="none"/>
        </w:rPr>
        <w:t xml:space="preserve">盐城市政府采购事前信用承诺书</w:t>
      </w:r>
      <w:r/>
    </w:p>
    <w:p>
      <w:pPr>
        <w:pStyle w:val="708"/>
        <w:ind w:firstLine="480"/>
        <w:jc w:val="both"/>
        <w:keepLines w:val="0"/>
        <w:keepNext w:val="0"/>
        <w:pageBreakBefore w:val="0"/>
        <w:spacing w:beforeAutospacing="0" w:afterAutospacing="0" w:line="36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sz w:val="24"/>
          <w:szCs w:val="24"/>
          <w:highlight w:val="none"/>
          <w:u w:val="none"/>
          <w:lang w:val="en-US" w:eastAsia="zh-CN" w:bidi="ar-SA"/>
        </w:rPr>
        <w:t xml:space="preserve">项目组组成人员一览表</w:t>
      </w:r>
      <w:r/>
    </w:p>
    <w:p>
      <w:pPr>
        <w:pStyle w:val="708"/>
        <w:ind w:firstLine="480"/>
        <w:jc w:val="both"/>
        <w:keepLines w:val="0"/>
        <w:keepNext w:val="0"/>
        <w:pageBreakBefore w:val="0"/>
        <w:spacing w:beforeAutospacing="0" w:afterAutospacing="0" w:line="360" w:lineRule="exact"/>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highlight w:val="none"/>
          <w:u w:val="none"/>
          <w:lang w:val="en-US" w:eastAsia="zh-CN"/>
        </w:rPr>
        <w:t xml:space="preserve">十九</w:t>
      </w:r>
      <w:r>
        <w:rPr>
          <w:rFonts w:hint="eastAsia" w:ascii="宋体" w:hAnsi="宋体" w:eastAsia="宋体" w:cs="宋体"/>
          <w:i w:val="0"/>
          <w:iCs/>
          <w:color w:val="000000"/>
          <w:sz w:val="24"/>
          <w:szCs w:val="24"/>
          <w:highlight w:val="none"/>
          <w:u w:val="none"/>
          <w:lang w:val="en-US" w:eastAsia="zh-CN" w:bidi="ar-SA"/>
        </w:rPr>
        <w:t xml:space="preserve">、服务承诺</w:t>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70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708"/>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708"/>
        <w:ind w:firstLine="480"/>
        <w:jc w:val="both"/>
        <w:spacing w:beforeAutospacing="0" w:afterAutospacing="0" w:line="0" w:lineRule="atLeast"/>
        <w:rPr>
          <w:highlight w:val="none"/>
        </w:rPr>
      </w:pPr>
      <w:r>
        <w:rPr>
          <w:highlight w:val="none"/>
        </w:rPr>
      </w:r>
      <w:r/>
    </w:p>
    <w:p>
      <w:pPr>
        <w:pStyle w:val="70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70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0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0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0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708"/>
        <w:ind w:firstLine="480"/>
        <w:jc w:val="both"/>
        <w:spacing w:beforeAutospacing="0" w:afterAutospacing="0"/>
        <w:rPr>
          <w:highlight w:val="none"/>
        </w:rPr>
      </w:pPr>
      <w:r/>
      <w:bookmarkStart w:id="161"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61"/>
      <w:r/>
      <w:r/>
    </w:p>
    <w:p>
      <w:pPr>
        <w:pStyle w:val="70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708"/>
        <w:jc w:val="center"/>
        <w:spacing w:beforeAutospacing="0" w:afterAutospacing="0" w:line="0" w:lineRule="atLeast"/>
        <w:rPr>
          <w:highlight w:val="none"/>
        </w:rPr>
      </w:pPr>
      <w:r>
        <w:rPr>
          <w:rFonts w:hint="eastAsia" w:ascii="宋体" w:hAnsi="宋体" w:eastAsia="宋体" w:cs="宋体"/>
          <w:b/>
          <w:color w:val="000000"/>
          <w:sz w:val="44"/>
          <w:szCs w:val="44"/>
          <w:highlight w:val="none"/>
        </w:rPr>
        <w:t xml:space="preserve">声</w:t>
      </w:r>
      <w:r>
        <w:rPr>
          <w:rFonts w:hint="eastAsia" w:ascii="宋体" w:hAnsi="宋体" w:eastAsia="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 明</w:t>
      </w:r>
      <w:r/>
    </w:p>
    <w:p>
      <w:pPr>
        <w:pStyle w:val="70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08"/>
        <w:numPr>
          <w:ilvl w:val="0"/>
          <w:numId w:val="2"/>
        </w:numPr>
        <w:jc w:val="both"/>
        <w:spacing w:beforeAutospacing="0" w:afterAutospacing="0"/>
        <w:rPr>
          <w:rFonts w:hint="eastAsia" w:ascii="黑体" w:hAnsi="宋体" w:eastAsia="黑体" w:cs="黑体"/>
          <w:i/>
          <w:color w:val="000000"/>
          <w:sz w:val="32"/>
          <w:szCs w:val="32"/>
          <w:highlight w:val="none"/>
          <w:u w:val="single"/>
          <w:lang w:eastAsia="zh-CN"/>
        </w:rPr>
      </w:pPr>
      <w:r>
        <w:rPr>
          <w:rFonts w:hint="eastAsia" w:ascii="黑体" w:hAnsi="宋体" w:eastAsia="黑体" w:cs="黑体"/>
          <w:i/>
          <w:color w:val="000000"/>
          <w:sz w:val="32"/>
          <w:szCs w:val="32"/>
          <w:highlight w:val="none"/>
          <w:u w:val="single"/>
        </w:rPr>
        <w:t xml:space="preserve">单位负责人为同一人或者存在直接控股、管理关系的不同供应商，不得参加同一合同项下的政府采购活动。</w:t>
      </w:r>
      <w:r>
        <w:rPr>
          <w:rFonts w:hint="eastAsia" w:ascii="黑体" w:hAnsi="宋体" w:eastAsia="黑体" w:cs="黑体"/>
          <w:i/>
          <w:color w:val="000000"/>
          <w:sz w:val="32"/>
          <w:szCs w:val="32"/>
          <w:highlight w:val="none"/>
          <w:u w:val="single"/>
          <w:lang w:eastAsia="zh-CN"/>
        </w:rPr>
        <w:t xml:space="preserve">（</w:t>
      </w:r>
      <w:r>
        <w:rPr>
          <w:rFonts w:hint="eastAsia" w:ascii="黑体" w:hAnsi="宋体" w:eastAsia="黑体" w:cs="黑体"/>
          <w:i/>
          <w:color w:val="000000"/>
          <w:sz w:val="32"/>
          <w:szCs w:val="32"/>
          <w:highlight w:val="none"/>
          <w:u w:val="single"/>
          <w:lang w:val="en-US" w:eastAsia="zh-CN"/>
        </w:rPr>
        <w:t xml:space="preserve">格式自拟</w:t>
      </w:r>
      <w:r>
        <w:rPr>
          <w:rFonts w:hint="eastAsia" w:ascii="黑体" w:hAnsi="宋体" w:eastAsia="黑体" w:cs="黑体"/>
          <w:i/>
          <w:color w:val="000000"/>
          <w:sz w:val="32"/>
          <w:szCs w:val="32"/>
          <w:highlight w:val="none"/>
          <w:u w:val="single"/>
          <w:lang w:eastAsia="zh-CN"/>
        </w:rPr>
        <w:t xml:space="preserve">）</w:t>
      </w:r>
      <w:r/>
    </w:p>
    <w:p>
      <w:pPr>
        <w:pStyle w:val="70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七</w:t>
      </w:r>
      <w:r>
        <w:rPr>
          <w:rFonts w:hint="eastAsia" w:ascii="黑体" w:hAnsi="宋体" w:eastAsia="黑体" w:cs="黑体"/>
          <w:i/>
          <w:color w:val="000000"/>
          <w:sz w:val="32"/>
          <w:szCs w:val="32"/>
          <w:highlight w:val="none"/>
          <w:u w:val="single"/>
        </w:rPr>
        <w:t xml:space="preserve">、特定资格要求的证明文件</w:t>
      </w:r>
      <w:r/>
    </w:p>
    <w:p>
      <w:pPr>
        <w:pStyle w:val="708"/>
        <w:ind w:firstLine="480"/>
        <w:jc w:val="both"/>
        <w:spacing w:beforeAutospacing="0" w:afterAutospacing="0" w:line="0" w:lineRule="atLeast"/>
        <w:rPr>
          <w:highlight w:val="none"/>
        </w:rPr>
      </w:pPr>
      <w:r>
        <w:rPr>
          <w:rFonts w:hint="eastAsia" w:ascii="宋体" w:hAnsi="宋体" w:eastAsia="宋体" w:cs="宋体"/>
          <w:i w:val="0"/>
          <w:iCs/>
          <w:color w:val="000000"/>
          <w:highlight w:val="none"/>
          <w:u w:val="none"/>
        </w:rPr>
        <w:t xml:space="preserve">本项目设置特定资格要求，需要提供</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color w:val="000000"/>
          <w:sz w:val="24"/>
          <w:szCs w:val="24"/>
          <w:highlight w:val="none"/>
          <w:lang w:val="en-US" w:eastAsia="zh-CN"/>
        </w:rPr>
        <w:t xml:space="preserve">测绘地理信息主管部门颁发的乙级及以上测绘资质证书。</w:t>
      </w:r>
      <w:r/>
    </w:p>
    <w:p>
      <w:pPr>
        <w:pStyle w:val="708"/>
        <w:jc w:val="both"/>
        <w:spacing w:beforeAutospacing="0" w:afterAutospacing="0" w:line="0" w:lineRule="atLeast"/>
        <w:rPr>
          <w:highlight w:val="none"/>
        </w:rPr>
      </w:pPr>
      <w:r>
        <w:rPr>
          <w:highlight w:val="none"/>
        </w:rPr>
      </w:r>
      <w:r/>
    </w:p>
    <w:p>
      <w:pPr>
        <w:pStyle w:val="70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70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70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Calibri" w:eastAsia="黑体" w:cs="Times New Roman"/>
          <w:b/>
          <w:bCs/>
          <w:sz w:val="32"/>
          <w:szCs w:val="32"/>
          <w:lang w:val="en-US" w:eastAsia="zh-CN"/>
        </w:rPr>
      </w:pPr>
      <w:r>
        <w:rPr>
          <w:rFonts w:hint="eastAsia" w:ascii="黑体" w:hAnsi="Calibri" w:eastAsia="黑体" w:cs="Times New Roman"/>
          <w:b/>
          <w:bCs/>
          <w:sz w:val="32"/>
          <w:szCs w:val="32"/>
          <w:lang w:val="en-US" w:eastAsia="zh-CN"/>
        </w:rPr>
        <w:br w:type="page" w:clear="all"/>
      </w:r>
      <w:r/>
    </w:p>
    <w:p>
      <w:pPr>
        <w:jc w:val="center"/>
        <w:spacing w:line="600" w:lineRule="exact"/>
        <w:rPr>
          <w:rFonts w:hint="eastAsia" w:ascii="黑体" w:eastAsia="黑体"/>
          <w:b/>
          <w:bCs/>
          <w:sz w:val="32"/>
          <w:szCs w:val="32"/>
        </w:rPr>
        <w:outlineLvl w:val="1"/>
      </w:pPr>
      <w:r>
        <w:rPr>
          <w:rFonts w:hint="eastAsia" w:ascii="黑体" w:hAnsi="Calibri" w:eastAsia="黑体" w:cs="Times New Roman"/>
          <w:b/>
          <w:bCs/>
          <w:sz w:val="32"/>
          <w:szCs w:val="32"/>
          <w:lang w:val="en-US" w:eastAsia="zh-CN"/>
        </w:rPr>
        <w:t xml:space="preserve">八、</w:t>
      </w:r>
      <w:r>
        <w:rPr>
          <w:rFonts w:hint="eastAsia" w:ascii="黑体" w:hAnsi="Calibri" w:eastAsia="黑体" w:cs="Times New Roman"/>
          <w:b/>
          <w:bCs/>
          <w:sz w:val="32"/>
          <w:szCs w:val="32"/>
        </w:rPr>
        <w:t xml:space="preserve">法</w:t>
      </w:r>
      <w:r>
        <w:rPr>
          <w:rFonts w:hint="eastAsia" w:ascii="黑体" w:eastAsia="黑体"/>
          <w:b/>
          <w:bCs/>
          <w:sz w:val="32"/>
          <w:szCs w:val="32"/>
        </w:rPr>
        <w:t xml:space="preserve">定代表人身份证明书</w:t>
      </w:r>
      <w:r/>
    </w:p>
    <w:p>
      <w:pPr>
        <w:jc w:val="center"/>
        <w:spacing w:line="600" w:lineRule="exact"/>
        <w:rPr>
          <w:rFonts w:hint="eastAsia" w:ascii="黑体" w:eastAsia="黑体"/>
          <w:b/>
          <w:sz w:val="28"/>
        </w:rPr>
      </w:pPr>
      <w:r>
        <w:rPr>
          <w:rFonts w:hint="eastAsia" w:ascii="黑体" w:eastAsia="黑体"/>
          <w:b/>
          <w:sz w:val="28"/>
        </w:rPr>
      </w:r>
      <w:r/>
    </w:p>
    <w:p>
      <w:pPr>
        <w:spacing w:line="60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：（采购人名称）</w:t>
      </w:r>
      <w:r/>
    </w:p>
    <w:p>
      <w:pPr>
        <w:ind w:firstLine="480"/>
        <w:spacing w:line="600" w:lineRule="exact"/>
        <w:rPr>
          <w:rFonts w:hint="eastAsia" w:ascii="宋体" w:hAnsi="宋体" w:eastAsia="宋体" w:cs="宋体"/>
          <w:sz w:val="24"/>
        </w:rPr>
      </w:pPr>
      <w:r>
        <w:rPr>
          <w:rFonts w:hint="eastAsia" w:ascii="宋体" w:hAnsi="宋体" w:eastAsia="宋体" w:cs="宋体"/>
          <w:sz w:val="24"/>
          <w:u w:val="single"/>
        </w:rPr>
        <w:t xml:space="preserve">  （法定代表人姓名） </w:t>
      </w:r>
      <w:r>
        <w:rPr>
          <w:rFonts w:hint="eastAsia" w:ascii="宋体" w:hAnsi="宋体" w:eastAsia="宋体" w:cs="宋体"/>
          <w:sz w:val="24"/>
        </w:rPr>
        <w:t xml:space="preserve">在</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供应商</w:t>
      </w:r>
      <w:r>
        <w:rPr>
          <w:rFonts w:hint="eastAsia" w:ascii="宋体" w:hAnsi="宋体" w:eastAsia="宋体" w:cs="宋体"/>
          <w:sz w:val="24"/>
          <w:u w:val="single"/>
        </w:rPr>
        <w:t xml:space="preserve">名称）     </w:t>
      </w:r>
      <w:r>
        <w:rPr>
          <w:rFonts w:hint="eastAsia" w:ascii="宋体" w:hAnsi="宋体" w:eastAsia="宋体" w:cs="宋体"/>
          <w:sz w:val="24"/>
        </w:rPr>
        <w:t xml:space="preserve"> 任</w:t>
      </w:r>
      <w:r>
        <w:rPr>
          <w:rFonts w:hint="eastAsia" w:ascii="宋体" w:hAnsi="宋体" w:eastAsia="宋体" w:cs="宋体"/>
          <w:sz w:val="24"/>
          <w:u w:val="single"/>
        </w:rPr>
        <w:t xml:space="preserve">（职务名称）</w:t>
      </w:r>
      <w:r>
        <w:rPr>
          <w:rFonts w:hint="eastAsia" w:ascii="宋体" w:hAnsi="宋体" w:eastAsia="宋体" w:cs="宋体"/>
          <w:sz w:val="24"/>
        </w:rPr>
        <w:t xml:space="preserve">职务，是</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供应商</w:t>
      </w:r>
      <w:r>
        <w:rPr>
          <w:rFonts w:hint="eastAsia" w:ascii="宋体" w:hAnsi="宋体" w:eastAsia="宋体" w:cs="宋体"/>
          <w:sz w:val="24"/>
          <w:u w:val="single"/>
        </w:rPr>
        <w:t xml:space="preserve">名称）      </w:t>
      </w:r>
      <w:r>
        <w:rPr>
          <w:rFonts w:hint="eastAsia" w:ascii="宋体" w:hAnsi="宋体" w:eastAsia="宋体" w:cs="宋体"/>
          <w:sz w:val="24"/>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sz w:val="24"/>
        </w:rPr>
        <w:t xml:space="preserve">。</w:t>
      </w:r>
      <w:r/>
    </w:p>
    <w:p>
      <w:pPr>
        <w:spacing w:line="600" w:lineRule="exact"/>
        <w:rPr>
          <w:rFonts w:hint="eastAsia" w:ascii="宋体" w:hAnsi="宋体" w:eastAsia="宋体" w:cs="宋体"/>
          <w:sz w:val="24"/>
        </w:rPr>
      </w:pPr>
      <w:r>
        <w:rPr>
          <w:rFonts w:hint="eastAsia" w:ascii="宋体" w:hAnsi="宋体" w:eastAsia="宋体" w:cs="宋体"/>
          <w:sz w:val="24"/>
        </w:rPr>
      </w:r>
      <w:r/>
    </w:p>
    <w:p>
      <w:pPr>
        <w:ind w:firstLine="480"/>
        <w:spacing w:line="600" w:lineRule="exact"/>
        <w:rPr>
          <w:rFonts w:hint="eastAsia" w:ascii="宋体" w:hAnsi="宋体" w:eastAsia="宋体" w:cs="宋体"/>
          <w:sz w:val="24"/>
        </w:rPr>
      </w:pPr>
      <w:r>
        <w:rPr>
          <w:rFonts w:hint="eastAsia" w:ascii="宋体" w:hAnsi="宋体" w:eastAsia="宋体" w:cs="宋体"/>
          <w:sz w:val="24"/>
        </w:rPr>
        <w:t xml:space="preserve">特此证明。</w:t>
      </w:r>
      <w:r/>
    </w:p>
    <w:p>
      <w:pPr>
        <w:pStyle w:val="70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08"/>
        <w:ind w:right="480" w:firstLine="48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right="480" w:firstLine="48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w:t>
      </w:r>
      <w:r/>
    </w:p>
    <w:p>
      <w:pPr>
        <w:jc w:val="left"/>
        <w:spacing w:line="600" w:lineRule="exact"/>
        <w:rPr>
          <w:rFonts w:hint="eastAsia" w:ascii="仿宋_GB2312" w:eastAsia="仿宋_GB2312"/>
          <w:b/>
          <w:bCs/>
          <w:sz w:val="24"/>
        </w:rPr>
      </w:pPr>
      <w:r>
        <w:rPr>
          <w:rFonts w:hint="eastAsia" w:ascii="仿宋_GB2312" w:eastAsia="仿宋_GB2312"/>
          <w:b/>
          <w:bCs/>
          <w:sz w:val="24"/>
        </w:rPr>
      </w:r>
      <w:r/>
    </w:p>
    <w:p>
      <w:pPr>
        <w:jc w:val="left"/>
        <w:spacing w:line="600" w:lineRule="exact"/>
        <w:rPr>
          <w:rFonts w:ascii="仿宋_GB2312" w:eastAsia="仿宋_GB2312"/>
          <w:b/>
          <w:bCs/>
          <w:sz w:val="24"/>
        </w:rPr>
      </w:pPr>
      <w:r>
        <w:rPr>
          <w:rFonts w:hint="eastAsia" w:ascii="仿宋_GB2312" w:eastAsia="仿宋_GB2312"/>
          <w:b/>
          <w:bCs/>
          <w:sz w:val="24"/>
        </w:rPr>
        <w:t xml:space="preserve">（附：法定代表人身份证正反面复印件）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spacing w:line="400" w:lineRule="exact"/>
        <w:rPr>
          <w:rFonts w:hint="eastAsia" w:ascii="黑体" w:eastAsia="黑体"/>
          <w:sz w:val="28"/>
        </w:rPr>
      </w:pPr>
      <w:r>
        <w:rPr>
          <w:rFonts w:ascii="仿宋_GB2312" w:eastAsia="仿宋_GB2312"/>
          <w:color w:val="auto"/>
          <w:sz w:val="24"/>
          <w:highlight w:val="none"/>
        </w:rPr>
        <w:br w:type="page" w:clear="all"/>
      </w:r>
      <w:r>
        <w:rPr>
          <w:rFonts w:hint="eastAsia" w:ascii="黑体" w:hAnsi="Calibri" w:eastAsia="黑体" w:cs="Times New Roman"/>
          <w:b/>
          <w:bCs/>
          <w:sz w:val="32"/>
          <w:szCs w:val="32"/>
          <w:lang w:val="en-US" w:eastAsia="zh-CN"/>
        </w:rPr>
        <w:t xml:space="preserve">九、投标</w:t>
      </w:r>
      <w:r>
        <w:rPr>
          <w:rFonts w:hint="eastAsia" w:ascii="黑体" w:eastAsia="黑体"/>
          <w:b/>
          <w:bCs/>
          <w:sz w:val="32"/>
          <w:szCs w:val="32"/>
          <w:lang w:eastAsia="zh-CN"/>
        </w:rPr>
        <w:t xml:space="preserve">文件</w:t>
      </w:r>
      <w:r>
        <w:rPr>
          <w:rFonts w:hint="eastAsia" w:ascii="黑体" w:eastAsia="黑体"/>
          <w:b/>
          <w:bCs/>
          <w:sz w:val="32"/>
          <w:szCs w:val="32"/>
        </w:rPr>
        <w:t xml:space="preserve">签署授权委托书</w:t>
      </w:r>
      <w:r/>
    </w:p>
    <w:p>
      <w:pPr>
        <w:jc w:val="center"/>
        <w:spacing w:line="400" w:lineRule="exact"/>
        <w:rPr>
          <w:rFonts w:hint="eastAsia" w:ascii="黑体" w:eastAsia="黑体"/>
          <w:b/>
          <w:sz w:val="28"/>
        </w:rPr>
      </w:pPr>
      <w:r>
        <w:rPr>
          <w:rFonts w:hint="eastAsia" w:ascii="黑体" w:eastAsia="黑体"/>
          <w:b/>
          <w:sz w:val="28"/>
        </w:rPr>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本授权委托书声明：我</w:t>
      </w:r>
      <w:r>
        <w:rPr>
          <w:rFonts w:hint="eastAsia" w:ascii="宋体" w:hAnsi="宋体" w:eastAsia="宋体" w:cs="宋体"/>
          <w:sz w:val="24"/>
          <w:u w:val="single"/>
        </w:rPr>
        <w:t xml:space="preserve">       （姓名）      </w:t>
      </w:r>
      <w:r>
        <w:rPr>
          <w:rFonts w:hint="eastAsia" w:ascii="宋体" w:hAnsi="宋体" w:eastAsia="宋体" w:cs="宋体"/>
          <w:sz w:val="24"/>
        </w:rPr>
        <w:t xml:space="preserve">系</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供应商</w:t>
      </w:r>
      <w:r>
        <w:rPr>
          <w:rFonts w:hint="eastAsia" w:ascii="宋体" w:hAnsi="宋体" w:eastAsia="宋体" w:cs="宋体"/>
          <w:sz w:val="24"/>
          <w:u w:val="single"/>
        </w:rPr>
        <w:t xml:space="preserve">名称）        </w:t>
      </w:r>
      <w:r>
        <w:rPr>
          <w:rFonts w:hint="eastAsia" w:ascii="宋体" w:hAnsi="宋体" w:eastAsia="宋体" w:cs="宋体"/>
          <w:sz w:val="24"/>
        </w:rPr>
        <w:t xml:space="preserve"> 的法定代表人，现授权</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供应商</w:t>
      </w:r>
      <w:r>
        <w:rPr>
          <w:rFonts w:hint="eastAsia" w:ascii="宋体" w:hAnsi="宋体" w:eastAsia="宋体" w:cs="宋体"/>
          <w:sz w:val="24"/>
          <w:u w:val="single"/>
        </w:rPr>
        <w:t xml:space="preserve">名称）</w:t>
      </w:r>
      <w:r>
        <w:rPr>
          <w:rFonts w:hint="eastAsia" w:ascii="宋体" w:hAnsi="宋体" w:eastAsia="宋体" w:cs="宋体"/>
          <w:sz w:val="24"/>
        </w:rPr>
        <w:t xml:space="preserve">的</w:t>
      </w:r>
      <w:r>
        <w:rPr>
          <w:rFonts w:hint="eastAsia" w:ascii="宋体" w:hAnsi="宋体" w:eastAsia="宋体" w:cs="宋体"/>
          <w:sz w:val="24"/>
          <w:u w:val="single"/>
        </w:rPr>
        <w:t xml:space="preserve">        （姓名）         </w:t>
      </w:r>
      <w:r>
        <w:rPr>
          <w:rFonts w:hint="eastAsia" w:ascii="宋体" w:hAnsi="宋体" w:eastAsia="宋体" w:cs="宋体"/>
          <w:sz w:val="24"/>
        </w:rPr>
        <w:t xml:space="preserve">为我公司签署本项目的</w:t>
      </w:r>
      <w:r>
        <w:rPr>
          <w:rFonts w:hint="eastAsia" w:ascii="宋体" w:hAnsi="宋体" w:eastAsia="宋体" w:cs="宋体"/>
          <w:sz w:val="24"/>
          <w:lang w:val="en-US" w:eastAsia="zh-CN"/>
        </w:rPr>
        <w:t xml:space="preserve">投标</w:t>
      </w:r>
      <w:r>
        <w:rPr>
          <w:rFonts w:hint="eastAsia" w:ascii="宋体" w:hAnsi="宋体" w:eastAsia="宋体" w:cs="宋体"/>
          <w:sz w:val="24"/>
          <w:lang w:eastAsia="zh-CN"/>
        </w:rPr>
        <w:t xml:space="preserve">文件</w:t>
      </w:r>
      <w:r>
        <w:rPr>
          <w:rFonts w:hint="eastAsia" w:ascii="宋体" w:hAnsi="宋体" w:eastAsia="宋体" w:cs="宋体"/>
          <w:sz w:val="24"/>
        </w:rPr>
        <w:t xml:space="preserve">的法定代表人授权委托代理，我承认</w:t>
      </w:r>
      <w:r>
        <w:rPr>
          <w:rFonts w:hint="eastAsia" w:ascii="宋体" w:hAnsi="宋体" w:eastAsia="宋体" w:cs="宋体"/>
          <w:sz w:val="24"/>
          <w:lang w:eastAsia="zh-CN"/>
        </w:rPr>
        <w:t xml:space="preserve">被授权人</w:t>
      </w:r>
      <w:r>
        <w:rPr>
          <w:rFonts w:hint="eastAsia" w:ascii="宋体" w:hAnsi="宋体" w:eastAsia="宋体" w:cs="宋体"/>
          <w:sz w:val="24"/>
        </w:rPr>
        <w:t xml:space="preserve">全权代表我所签署的本项目的</w:t>
      </w:r>
      <w:r>
        <w:rPr>
          <w:rFonts w:hint="eastAsia" w:ascii="宋体" w:hAnsi="宋体" w:eastAsia="宋体" w:cs="宋体"/>
          <w:sz w:val="24"/>
          <w:lang w:val="en-US" w:eastAsia="zh-CN"/>
        </w:rPr>
        <w:t xml:space="preserve">投标</w:t>
      </w:r>
      <w:r>
        <w:rPr>
          <w:rFonts w:hint="eastAsia" w:ascii="宋体" w:hAnsi="宋体" w:eastAsia="宋体" w:cs="宋体"/>
          <w:sz w:val="24"/>
          <w:lang w:eastAsia="zh-CN"/>
        </w:rPr>
        <w:t xml:space="preserve">文件</w:t>
      </w:r>
      <w:r>
        <w:rPr>
          <w:rFonts w:hint="eastAsia" w:ascii="宋体" w:hAnsi="宋体" w:eastAsia="宋体" w:cs="宋体"/>
          <w:sz w:val="24"/>
        </w:rPr>
        <w:t xml:space="preserve">的内容。</w:t>
      </w:r>
      <w:r/>
    </w:p>
    <w:p>
      <w:pPr>
        <w:spacing w:line="400" w:lineRule="exact"/>
        <w:rPr>
          <w:rFonts w:hint="eastAsia" w:ascii="宋体" w:hAnsi="宋体" w:eastAsia="宋体" w:cs="宋体"/>
          <w:sz w:val="24"/>
        </w:rPr>
      </w:pPr>
      <w:r>
        <w:rPr>
          <w:rFonts w:hint="eastAsia" w:ascii="宋体" w:hAnsi="宋体" w:eastAsia="宋体" w:cs="宋体"/>
          <w:sz w:val="24"/>
        </w:rPr>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特此委托。</w:t>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sz w:val="24"/>
          <w:lang w:eastAsia="zh-CN"/>
        </w:rPr>
        <w:t xml:space="preserve">被授权人</w:t>
      </w:r>
      <w:r>
        <w:rPr>
          <w:rFonts w:hint="eastAsia" w:ascii="宋体" w:hAnsi="宋体" w:eastAsia="宋体" w:cs="宋体"/>
          <w:color w:val="auto"/>
          <w:sz w:val="24"/>
          <w:highlight w:val="none"/>
          <w:lang w:val="en-US" w:eastAsia="zh-CN"/>
        </w:rPr>
        <w:t xml:space="preserve">）</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rPr>
          <w:rFonts w:hint="eastAsia" w:ascii="宋体" w:hAnsi="宋体" w:eastAsia="宋体" w:cs="宋体"/>
          <w:sz w:val="24"/>
        </w:rPr>
        <w:t xml:space="preserve">  年龄：</w:t>
      </w:r>
      <w:r>
        <w:rPr>
          <w:rFonts w:hint="eastAsia" w:ascii="宋体" w:hAnsi="宋体" w:eastAsia="宋体" w:cs="宋体"/>
          <w:sz w:val="24"/>
          <w:u w:val="single"/>
        </w:rPr>
        <w:t xml:space="preserve">         </w:t>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u w:val="single"/>
        </w:rPr>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rPr>
        <w:t xml:space="preserve">身份证号码：</w:t>
      </w:r>
      <w:r>
        <w:rPr>
          <w:rFonts w:hint="eastAsia" w:ascii="宋体" w:hAnsi="宋体" w:eastAsia="宋体" w:cs="宋体"/>
          <w:sz w:val="24"/>
          <w:u w:val="single"/>
        </w:rPr>
        <w:t xml:space="preserve">                        </w:t>
      </w:r>
      <w:r>
        <w:rPr>
          <w:rFonts w:hint="eastAsia" w:ascii="宋体" w:hAnsi="宋体" w:eastAsia="宋体" w:cs="宋体"/>
          <w:sz w:val="24"/>
        </w:rPr>
        <w:t xml:space="preserve">  职务：</w:t>
      </w:r>
      <w:r>
        <w:rPr>
          <w:rFonts w:hint="eastAsia" w:ascii="宋体" w:hAnsi="宋体" w:eastAsia="宋体" w:cs="宋体"/>
          <w:sz w:val="24"/>
          <w:u w:val="single"/>
        </w:rPr>
        <w:t xml:space="preserve">        </w:t>
      </w:r>
      <w:r/>
    </w:p>
    <w:p>
      <w:pPr>
        <w:pStyle w:val="863"/>
        <w:rPr>
          <w:rFonts w:hint="eastAsia" w:ascii="宋体" w:hAnsi="宋体" w:eastAsia="宋体" w:cs="宋体"/>
        </w:rPr>
      </w:pPr>
      <w:r>
        <w:rPr>
          <w:rFonts w:hint="eastAsia" w:ascii="宋体" w:hAnsi="宋体" w:eastAsia="宋体" w:cs="宋体"/>
        </w:rPr>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szCs w:val="22"/>
          <w:lang w:val="en-US" w:eastAsia="zh-CN"/>
        </w:rPr>
        <w:t xml:space="preserve">联系号码（手机号码）;</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u w:val="single"/>
        </w:rPr>
      </w:r>
      <w:r/>
    </w:p>
    <w:p>
      <w:pPr>
        <w:ind w:firstLine="2126"/>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eastAsia="zh-CN"/>
        </w:rPr>
        <w:t xml:space="preserve">供应商</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（盖单位公章）</w:t>
      </w:r>
      <w:r/>
    </w:p>
    <w:p>
      <w:pPr>
        <w:ind w:firstLine="2126"/>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（盖章）</w:t>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u w:val="single"/>
        </w:rPr>
      </w:r>
      <w:r/>
    </w:p>
    <w:p>
      <w:pPr>
        <w:ind w:firstLine="2126"/>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授权委托日期：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2126"/>
        <w:spacing w:line="400" w:lineRule="exact"/>
        <w:rPr>
          <w:rFonts w:hint="eastAsia" w:ascii="宋体" w:hAnsi="宋体" w:eastAsia="宋体" w:cs="宋体"/>
          <w:sz w:val="24"/>
        </w:rPr>
      </w:pPr>
      <w:r>
        <w:rPr>
          <w:rFonts w:hint="eastAsia" w:ascii="宋体" w:hAnsi="宋体" w:eastAsia="宋体" w:cs="宋体"/>
          <w:sz w:val="24"/>
        </w:rPr>
      </w:r>
      <w:r/>
    </w:p>
    <w:p>
      <w:pPr>
        <w:jc w:val="left"/>
        <w:spacing w:line="400" w:lineRule="exact"/>
        <w:rPr>
          <w:rFonts w:hint="eastAsia" w:ascii="仿宋_GB2312" w:eastAsia="仿宋_GB2312"/>
          <w:b/>
          <w:bCs/>
          <w:sz w:val="24"/>
        </w:rPr>
      </w:pPr>
      <w:r>
        <w:rPr>
          <w:rFonts w:hint="eastAsia" w:ascii="仿宋_GB2312" w:eastAsia="仿宋_GB2312"/>
          <w:b/>
          <w:bCs/>
          <w:sz w:val="24"/>
        </w:rPr>
        <w:t xml:space="preserve">（附：</w:t>
      </w:r>
      <w:r>
        <w:rPr>
          <w:rFonts w:hint="eastAsia" w:ascii="仿宋_GB2312" w:eastAsia="仿宋_GB2312"/>
          <w:b/>
          <w:bCs/>
          <w:sz w:val="24"/>
          <w:lang w:eastAsia="zh-CN"/>
        </w:rPr>
        <w:t xml:space="preserve">被授权人</w:t>
      </w:r>
      <w:r>
        <w:rPr>
          <w:rFonts w:hint="eastAsia" w:ascii="仿宋_GB2312" w:eastAsia="仿宋_GB2312"/>
          <w:b/>
          <w:bCs/>
          <w:sz w:val="24"/>
        </w:rPr>
        <w:t xml:space="preserve">身份证正反面复印件）</w:t>
      </w:r>
      <w:r/>
    </w:p>
    <w:p>
      <w:pPr>
        <w:jc w:val="left"/>
        <w:rPr>
          <w:rFonts w:hint="eastAsia" w:ascii="仿宋_GB2312" w:eastAsia="仿宋_GB2312"/>
          <w:color w:val="auto"/>
          <w:sz w:val="24"/>
          <w:highlight w:val="none"/>
        </w:rPr>
      </w:pPr>
      <w:r>
        <w:rPr>
          <w:rFonts w:hint="eastAsia" w:ascii="仿宋_GB2312" w:eastAsia="仿宋_GB2312"/>
          <w:color w:val="auto"/>
          <w:sz w:val="24"/>
          <w:highlight w:val="none"/>
        </w:rPr>
      </w:r>
      <w:r/>
    </w:p>
    <w:p>
      <w:pPr>
        <w:jc w:val="left"/>
        <w:rPr>
          <w:rFonts w:hint="eastAsia" w:ascii="仿宋_GB2312" w:eastAsia="仿宋_GB2312"/>
          <w:color w:val="auto"/>
          <w:sz w:val="24"/>
          <w:highlight w:val="none"/>
        </w:rPr>
      </w:pPr>
      <w:r>
        <w:rPr>
          <w:rFonts w:hint="eastAsia" w:ascii="仿宋_GB2312" w:eastAsia="仿宋_GB2312"/>
          <w:color w:val="auto"/>
          <w:sz w:val="24"/>
          <w:highlight w:val="none"/>
        </w:rPr>
      </w:r>
      <w:r/>
    </w:p>
    <w:p>
      <w:pPr>
        <w:rPr>
          <w:rFonts w:hint="eastAsia" w:ascii="黑体" w:hAnsi="宋体" w:eastAsia="黑体" w:cs="黑体"/>
          <w:b/>
          <w:color w:val="000000"/>
          <w:sz w:val="32"/>
          <w:szCs w:val="32"/>
          <w:highlight w:val="none"/>
        </w:rPr>
      </w:pPr>
      <w:r/>
      <w:bookmarkStart w:id="162" w:name="_Hlt26671380"/>
      <w:r/>
      <w:bookmarkStart w:id="163" w:name="_格式3__银行出具的资信证明"/>
      <w:r/>
      <w:bookmarkStart w:id="164" w:name="_Hlt26955070"/>
      <w:r>
        <w:rPr>
          <w:rFonts w:hint="eastAsia" w:ascii="黑体" w:hAnsi="宋体" w:eastAsia="黑体" w:cs="黑体"/>
          <w:b/>
          <w:color w:val="000000"/>
          <w:sz w:val="32"/>
          <w:szCs w:val="32"/>
          <w:highlight w:val="none"/>
        </w:rPr>
        <w:br w:type="page" w:clear="all"/>
      </w:r>
      <w:r/>
    </w:p>
    <w:p>
      <w:pPr>
        <w:pStyle w:val="708"/>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十</w:t>
      </w:r>
      <w:r>
        <w:rPr>
          <w:rFonts w:hint="eastAsia" w:ascii="黑体" w:hAnsi="宋体" w:eastAsia="黑体" w:cs="黑体"/>
          <w:b/>
          <w:color w:val="000000"/>
          <w:sz w:val="32"/>
          <w:szCs w:val="32"/>
          <w:highlight w:val="none"/>
        </w:rPr>
        <w:t xml:space="preserve">、投标函</w:t>
      </w:r>
      <w:r/>
    </w:p>
    <w:p>
      <w:pPr>
        <w:pStyle w:val="708"/>
        <w:spacing w:beforeAutospacing="0" w:afterAutospacing="0" w:line="0" w:lineRule="atLeast"/>
        <w:rPr>
          <w:rFonts w:hint="default" w:eastAsia="宋体"/>
          <w:highlight w:val="none"/>
          <w:u w:val="singl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eastAsia="zh-CN"/>
        </w:rPr>
        <w:t xml:space="preserve">采购人</w:t>
      </w:r>
      <w:r>
        <w:rPr>
          <w:rFonts w:hint="eastAsia" w:ascii="宋体" w:hAnsi="宋体" w:eastAsia="宋体" w:cs="宋体"/>
          <w:color w:val="000000"/>
          <w:highlight w:val="none"/>
          <w:u w:val="none"/>
          <w:lang w:val="en-US" w:eastAsia="zh-CN"/>
        </w:rPr>
        <w:t xml:space="preserve">)</w:t>
      </w:r>
      <w:r/>
    </w:p>
    <w:p>
      <w:pPr>
        <w:pStyle w:val="708"/>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rPr>
        <w:t xml:space="preserve">JSZC-320000-***</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708"/>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708"/>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708"/>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08"/>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08"/>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08"/>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08"/>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708"/>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70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70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70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70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70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70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70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期：________年____月____日</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0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十一</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采购人</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08"/>
        <w:ind w:right="720"/>
        <w:jc w:val="both"/>
        <w:spacing w:beforeAutospacing="0" w:afterAutospacing="0" w:line="0" w:lineRule="atLeast"/>
        <w:rPr>
          <w:color w:val="auto"/>
          <w:highlight w:val="none"/>
        </w:rPr>
      </w:pPr>
      <w:r>
        <w:rPr>
          <w:color w:val="auto"/>
          <w:highlight w:val="none"/>
        </w:rPr>
        <w:t xml:space="preserve"> </w:t>
      </w:r>
      <w:r/>
    </w:p>
    <w:p>
      <w:pPr>
        <w:pStyle w:val="70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08"/>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08"/>
        <w:ind w:firstLine="240"/>
        <w:jc w:val="both"/>
        <w:spacing w:beforeAutospacing="0" w:afterAutospacing="0" w:line="0" w:lineRule="atLeast"/>
        <w:rPr>
          <w:color w:val="auto"/>
          <w:highlight w:val="none"/>
        </w:rPr>
      </w:pPr>
      <w:r>
        <w:rPr>
          <w:color w:val="auto"/>
          <w:highlight w:val="none"/>
        </w:rPr>
        <w:t xml:space="preserve"> </w:t>
      </w:r>
      <w:r/>
    </w:p>
    <w:p>
      <w:pPr>
        <w:pStyle w:val="70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0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08"/>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、残疾人福利性单位声明函（分包号：**）</w:t>
      </w:r>
      <w:r/>
    </w:p>
    <w:p>
      <w:pPr>
        <w:pStyle w:val="70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70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08"/>
        <w:ind w:firstLine="480"/>
        <w:jc w:val="both"/>
        <w:spacing w:beforeAutospacing="0" w:afterAutospacing="0" w:line="0" w:lineRule="atLeast"/>
        <w:rPr>
          <w:highlight w:val="none"/>
        </w:rPr>
      </w:pPr>
      <w:r>
        <w:rPr>
          <w:highlight w:val="none"/>
        </w:rPr>
        <w:t xml:space="preserve"> </w:t>
      </w:r>
      <w:r/>
    </w:p>
    <w:p>
      <w:pPr>
        <w:pStyle w:val="708"/>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70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708"/>
        <w:ind w:firstLine="624"/>
        <w:jc w:val="both"/>
        <w:spacing w:beforeAutospacing="0" w:afterAutospacing="0" w:line="0" w:lineRule="atLeast"/>
        <w:rPr>
          <w:highlight w:val="none"/>
        </w:rPr>
      </w:pPr>
      <w:r>
        <w:rPr>
          <w:highlight w:val="none"/>
        </w:rPr>
        <w:t xml:space="preserve"> </w:t>
      </w:r>
      <w:r/>
    </w:p>
    <w:p>
      <w:pPr>
        <w:pStyle w:val="708"/>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708"/>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日  期：</w:t>
      </w:r>
      <w:r/>
    </w:p>
    <w:p>
      <w:pPr>
        <w:pStyle w:val="708"/>
        <w:jc w:val="center"/>
        <w:spacing w:beforeAutospacing="0" w:afterAutospacing="0" w:line="0" w:lineRule="atLeast"/>
        <w:rPr>
          <w:highlight w:val="none"/>
        </w:rPr>
      </w:pPr>
      <w:r>
        <w:rPr>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708"/>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、报价表（</w:t>
      </w:r>
      <w:r>
        <w:rPr>
          <w:rFonts w:hint="eastAsia" w:ascii="黑体" w:hAnsi="宋体" w:eastAsia="黑体" w:cs="黑体"/>
          <w:b/>
          <w:color w:val="000000"/>
          <w:sz w:val="32"/>
          <w:szCs w:val="32"/>
          <w:highlight w:val="none"/>
          <w:lang w:val="en-US" w:eastAsia="zh-CN"/>
        </w:rPr>
        <w:t xml:space="preserve">采购包***</w:t>
      </w:r>
      <w:r>
        <w:rPr>
          <w:rFonts w:hint="eastAsia" w:ascii="黑体" w:hAnsi="宋体" w:eastAsia="黑体" w:cs="黑体"/>
          <w:b/>
          <w:color w:val="000000"/>
          <w:sz w:val="32"/>
          <w:szCs w:val="32"/>
          <w:highlight w:val="none"/>
        </w:rPr>
        <w:t xml:space="preserve">）</w:t>
      </w:r>
      <w:r/>
    </w:p>
    <w:tbl>
      <w:tblPr>
        <w:tblStyle w:val="685"/>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2831"/>
        <w:gridCol w:w="1482"/>
        <w:gridCol w:w="2092"/>
        <w:gridCol w:w="1928"/>
      </w:tblGrid>
      <w:tr>
        <w:trPr>
          <w:trHeight w:val="57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89" w:type="pct"/>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类型</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5" w:type="pct"/>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w:t>
            </w:r>
            <w:r>
              <w:rPr>
                <w:rFonts w:hint="eastAsia" w:ascii="宋体" w:hAnsi="宋体" w:eastAsia="宋体" w:cs="宋体"/>
                <w:color w:val="000000"/>
                <w:sz w:val="24"/>
                <w:szCs w:val="24"/>
                <w:highlight w:val="none"/>
                <w:u w:val="none"/>
                <w:lang w:val="en-US" w:eastAsia="zh-CN"/>
              </w:rPr>
              <w:t xml:space="preserve">元/宗</w:t>
            </w:r>
            <w:r>
              <w:rPr>
                <w:rFonts w:hint="eastAsia" w:ascii="宋体" w:hAnsi="宋体" w:eastAsia="宋体" w:cs="宋体"/>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56" w:type="pct"/>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tc>
      </w:tr>
      <w:tr>
        <w:trPr>
          <w:trHeight w:val="716"/>
        </w:trPr>
        <w:tc>
          <w:tcPr>
            <w:tcBorders>
              <w:top w:val="single" w:color="auto" w:sz="4" w:space="0"/>
              <w:left w:val="single" w:color="auto" w:sz="4" w:space="0"/>
              <w:right w:val="single" w:color="auto" w:sz="4" w:space="0"/>
            </w:tcBorders>
            <w:tcMar>
              <w:left w:w="15" w:type="dxa"/>
              <w:top w:w="15" w:type="dxa"/>
              <w:right w:w="15" w:type="dxa"/>
            </w:tcMar>
            <w:tcW w:w="1698" w:type="pct"/>
            <w:vAlign w:val="center"/>
            <w:vMerge w:val="restart"/>
            <w:textDirection w:val="lrTb"/>
            <w:noWrap w:val="false"/>
          </w:tcPr>
          <w:p>
            <w:pPr>
              <w:jc w:val="center"/>
              <w:rPr>
                <w:rFonts w:hint="eastAsia" w:ascii="宋体" w:hAnsi="宋体" w:eastAsia="宋体" w:cs="宋体"/>
                <w:sz w:val="24"/>
                <w:szCs w:val="24"/>
                <w:u w:val="none"/>
              </w:rPr>
            </w:pPr>
            <w:r>
              <w:rPr>
                <w:rFonts w:hint="eastAsia" w:ascii="宋体" w:hAnsi="宋体" w:eastAsia="宋体" w:cs="宋体"/>
                <w:color w:val="000000"/>
                <w:sz w:val="24"/>
                <w:szCs w:val="24"/>
                <w:highlight w:val="none"/>
                <w:u w:val="none"/>
                <w:lang w:val="en-US" w:eastAsia="zh-CN"/>
              </w:rPr>
              <w:t xml:space="preserve">东台市农村乱占耕地建房住宅类房屋专项整治项目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89" w:type="pct"/>
            <w:vAlign w:val="center"/>
            <w:textDirection w:val="lrTb"/>
            <w:noWrap w:val="false"/>
          </w:tcPr>
          <w:p>
            <w:pPr>
              <w:jc w:val="center"/>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整治类图斑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5" w:type="pct"/>
            <w:vAlign w:val="center"/>
            <w:textDirection w:val="lrTb"/>
            <w:noWrap w:val="false"/>
          </w:tcPr>
          <w:p>
            <w:pPr>
              <w:jc w:val="center"/>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56" w:type="pct"/>
            <w:vAlign w:val="center"/>
            <w:textDirection w:val="lrTb"/>
            <w:noWrap w:val="false"/>
          </w:tcPr>
          <w:p>
            <w:pPr>
              <w:jc w:val="center"/>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r>
            <w:r/>
          </w:p>
        </w:tc>
      </w:tr>
      <w:tr>
        <w:trPr>
          <w:trHeight w:val="716"/>
        </w:trPr>
        <w:tc>
          <w:tcPr>
            <w:tcBorders>
              <w:left w:val="single" w:color="auto" w:sz="4" w:space="0"/>
              <w:bottom w:val="single" w:color="auto" w:sz="4" w:space="0"/>
              <w:right w:val="single" w:color="auto" w:sz="4" w:space="0"/>
            </w:tcBorders>
            <w:tcMar>
              <w:left w:w="15" w:type="dxa"/>
              <w:top w:w="15" w:type="dxa"/>
              <w:right w:w="15" w:type="dxa"/>
            </w:tcMar>
            <w:tcW w:w="1698" w:type="pct"/>
            <w:vAlign w:val="center"/>
            <w:vMerge w:val="continue"/>
            <w:textDirection w:val="lrTb"/>
            <w:noWrap w:val="false"/>
          </w:tcPr>
          <w:p>
            <w:pPr>
              <w:jc w:val="center"/>
              <w:rPr>
                <w:rFonts w:hint="eastAsia" w:ascii="宋体" w:hAnsi="宋体" w:eastAsia="宋体" w:cs="宋体"/>
                <w:sz w:val="24"/>
                <w:szCs w:val="24"/>
                <w:u w:val="none"/>
              </w:rPr>
            </w:pPr>
            <w:r>
              <w:rPr>
                <w:rFonts w:hint="eastAsia" w:ascii="宋体" w:hAnsi="宋体" w:eastAsia="宋体" w:cs="宋体"/>
                <w:sz w:val="24"/>
                <w:szCs w:val="24"/>
                <w:u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89" w:type="pct"/>
            <w:vAlign w:val="center"/>
            <w:textDirection w:val="lrTb"/>
            <w:noWrap w:val="false"/>
          </w:tcPr>
          <w:p>
            <w:pPr>
              <w:jc w:val="center"/>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非整治类图斑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5" w:type="pct"/>
            <w:vAlign w:val="center"/>
            <w:textDirection w:val="lrTb"/>
            <w:noWrap w:val="false"/>
          </w:tcPr>
          <w:p>
            <w:pPr>
              <w:jc w:val="center"/>
              <w:rPr>
                <w:rFonts w:hint="eastAsia" w:ascii="宋体" w:hAnsi="宋体" w:eastAsia="宋体" w:cs="宋体"/>
                <w:sz w:val="24"/>
                <w:szCs w:val="24"/>
                <w:u w:val="none"/>
              </w:rPr>
            </w:pPr>
            <w:r>
              <w:rPr>
                <w:rFonts w:hint="eastAsia" w:ascii="宋体" w:hAnsi="宋体" w:eastAsia="宋体" w:cs="宋体"/>
                <w:sz w:val="24"/>
                <w:szCs w:val="24"/>
                <w:u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56" w:type="pct"/>
            <w:vAlign w:val="center"/>
            <w:textDirection w:val="lrTb"/>
            <w:noWrap w:val="false"/>
          </w:tcPr>
          <w:p>
            <w:pPr>
              <w:jc w:val="center"/>
              <w:rPr>
                <w:rFonts w:hint="eastAsia" w:ascii="宋体" w:hAnsi="宋体" w:eastAsia="宋体" w:cs="宋体"/>
                <w:sz w:val="24"/>
                <w:szCs w:val="24"/>
                <w:u w:val="none"/>
              </w:rPr>
            </w:pPr>
            <w:r>
              <w:rPr>
                <w:rFonts w:hint="eastAsia" w:ascii="宋体" w:hAnsi="宋体" w:eastAsia="宋体" w:cs="宋体"/>
                <w:sz w:val="24"/>
                <w:szCs w:val="24"/>
                <w:u w:val="none"/>
              </w:rPr>
            </w:r>
            <w:r/>
          </w:p>
        </w:tc>
      </w:tr>
    </w:tbl>
    <w:p>
      <w:pPr>
        <w:pStyle w:val="708"/>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备注：1.报价中包含但不限于人工、食宿费、差旅费、安全措施费、数据整理、成果出具、纸张等耗材、后续服务、税金、合理利润等与完成本项目服务相关的所有费用。</w:t>
      </w:r>
      <w:r/>
    </w:p>
    <w:p>
      <w:pPr>
        <w:pStyle w:val="708"/>
        <w:ind w:firstLine="482"/>
        <w:keepLines w:val="0"/>
        <w:keepNext w:val="0"/>
        <w:pageBreakBefore w:val="0"/>
        <w:spacing w:before="120" w:beforeAutospacing="0" w:after="120" w:afterAutospacing="0" w:line="360" w:lineRule="exact"/>
        <w:rPr>
          <w:rFonts w:hint="eastAsia" w:ascii="宋体" w:hAnsi="宋体" w:eastAsia="宋体" w:cs="宋体"/>
          <w:highlight w:val="yellow"/>
        </w:rPr>
      </w:pPr>
      <w:r>
        <w:rPr>
          <w:rFonts w:hint="eastAsia" w:ascii="宋体" w:hAnsi="宋体" w:eastAsia="宋体" w:cs="宋体"/>
          <w:color w:val="000000"/>
          <w:highlight w:val="yellow"/>
          <w:lang w:val="en-US" w:eastAsia="zh-CN"/>
        </w:rPr>
        <w:t xml:space="preserve">2.“开标一览表”总价为单价汇总。</w:t>
      </w:r>
      <w:r/>
    </w:p>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ind w:firstLine="2400"/>
        <w:keepLines w:val="0"/>
        <w:keepNext w:val="0"/>
        <w:pageBreakBefore w:val="0"/>
        <w:spacing w:line="480" w:lineRule="exact"/>
        <w:widowControl w:val="off"/>
        <w:rPr>
          <w:rFonts w:hint="eastAsia" w:ascii="仿宋_GB2312" w:eastAsia="仿宋_GB2312"/>
          <w:sz w:val="24"/>
        </w:rPr>
      </w:pPr>
      <w:r>
        <w:rPr>
          <w:rFonts w:hint="eastAsia" w:ascii="仿宋_GB2312" w:eastAsia="仿宋_GB2312"/>
          <w:sz w:val="24"/>
        </w:rPr>
      </w:r>
      <w:r/>
    </w:p>
    <w:p>
      <w:pPr>
        <w:ind w:firstLine="2400"/>
        <w:keepLines w:val="0"/>
        <w:keepNext w:val="0"/>
        <w:pageBreakBefore w:val="0"/>
        <w:spacing w:line="480" w:lineRule="exact"/>
        <w:widowControl w:val="off"/>
        <w:rPr>
          <w:rFonts w:hint="eastAsia" w:ascii="仿宋_GB2312" w:eastAsia="仿宋_GB2312"/>
          <w:sz w:val="24"/>
        </w:rPr>
      </w:pPr>
      <w:r>
        <w:rPr>
          <w:rFonts w:hint="eastAsia" w:ascii="仿宋_GB2312" w:eastAsia="仿宋_GB2312"/>
          <w:sz w:val="24"/>
        </w:rPr>
      </w:r>
      <w:r/>
    </w:p>
    <w:p>
      <w:pPr>
        <w:ind w:firstLine="2400"/>
        <w:keepLines w:val="0"/>
        <w:keepNext w:val="0"/>
        <w:pageBreakBefore w:val="0"/>
        <w:spacing w:line="480" w:lineRule="exact"/>
        <w:widowControl w:val="off"/>
        <w:rPr>
          <w:rFonts w:hint="eastAsia" w:ascii="仿宋_GB2312" w:eastAsia="仿宋_GB2312"/>
          <w:sz w:val="24"/>
        </w:rPr>
      </w:pPr>
      <w:r>
        <w:rPr>
          <w:rFonts w:hint="eastAsia" w:ascii="仿宋_GB2312" w:eastAsia="仿宋_GB2312"/>
          <w:sz w:val="24"/>
        </w:rPr>
      </w:r>
      <w:r/>
    </w:p>
    <w:p>
      <w:pPr>
        <w:ind w:firstLine="2400"/>
        <w:keepLines w:val="0"/>
        <w:keepNext w:val="0"/>
        <w:pageBreakBefore w:val="0"/>
        <w:spacing w:line="480" w:lineRule="exact"/>
        <w:widowControl w:val="off"/>
        <w:rPr>
          <w:rFonts w:hint="eastAsia" w:ascii="仿宋_GB2312" w:eastAsia="仿宋_GB2312"/>
          <w:sz w:val="24"/>
        </w:rPr>
      </w:pPr>
      <w:r>
        <w:rPr>
          <w:rFonts w:hint="eastAsia" w:ascii="仿宋_GB2312" w:eastAsia="仿宋_GB2312"/>
          <w:sz w:val="24"/>
        </w:rPr>
      </w:r>
      <w:r/>
    </w:p>
    <w:p>
      <w:pPr>
        <w:ind w:firstLine="240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被授权人（</w:t>
      </w:r>
      <w:r>
        <w:rPr>
          <w:rFonts w:hint="eastAsia" w:ascii="宋体" w:hAnsi="宋体" w:eastAsia="宋体" w:cs="宋体"/>
          <w:sz w:val="24"/>
        </w:rPr>
        <w:t xml:space="preserve">签字</w:t>
      </w:r>
      <w:r>
        <w:rPr>
          <w:rFonts w:hint="eastAsia" w:ascii="宋体" w:hAnsi="宋体" w:eastAsia="宋体" w:cs="宋体"/>
          <w:sz w:val="24"/>
          <w:lang w:val="en-US" w:eastAsia="zh-CN"/>
        </w:rPr>
        <w:t xml:space="preserve">）</w:t>
      </w:r>
      <w:r>
        <w:rPr>
          <w:rFonts w:hint="eastAsia" w:ascii="宋体" w:hAnsi="宋体" w:eastAsia="宋体" w:cs="宋体"/>
          <w:sz w:val="24"/>
        </w:rPr>
        <w:t xml:space="preserve">：</w:t>
      </w:r>
      <w:r/>
    </w:p>
    <w:p>
      <w:pPr>
        <w:ind w:firstLine="336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lang w:eastAsia="zh-CN"/>
        </w:rPr>
        <w:t xml:space="preserve">供应商</w:t>
      </w:r>
      <w:r>
        <w:rPr>
          <w:rFonts w:hint="eastAsia" w:ascii="宋体" w:hAnsi="宋体" w:eastAsia="宋体" w:cs="宋体"/>
          <w:sz w:val="24"/>
        </w:rPr>
        <w:t xml:space="preserve">（盖单位公章）：</w:t>
      </w:r>
      <w:r/>
    </w:p>
    <w:p>
      <w:pPr>
        <w:jc w:val="right"/>
        <w:keepLines w:val="0"/>
        <w:keepNext w:val="0"/>
        <w:pageBreakBefore w:val="0"/>
        <w:spacing w:line="480" w:lineRule="exact"/>
        <w:widowControl w:val="off"/>
        <w:rPr>
          <w:rFonts w:hint="eastAsia" w:ascii="仿宋_GB2312" w:eastAsia="仿宋_GB2312"/>
          <w:color w:val="auto"/>
          <w:sz w:val="24"/>
          <w:szCs w:val="24"/>
          <w:highlight w:val="none"/>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仿宋_GB2312" w:eastAsia="仿宋_GB2312"/>
          <w:sz w:val="24"/>
          <w:u w:val="single"/>
        </w:rPr>
        <w:t xml:space="preserve">  </w:t>
      </w:r>
      <w:r>
        <w:rPr>
          <w:rFonts w:hint="eastAsia" w:ascii="仿宋_GB2312" w:eastAsia="仿宋_GB2312"/>
          <w:sz w:val="24"/>
        </w:rPr>
        <w:t xml:space="preserve">日</w:t>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708"/>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、技术要求响应及偏离表（分包号：**）</w:t>
      </w:r>
      <w:r/>
    </w:p>
    <w:tbl>
      <w:tblPr>
        <w:tblStyle w:val="68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0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bl>
    <w:p>
      <w:pPr>
        <w:pStyle w:val="708"/>
        <w:jc w:val="both"/>
        <w:spacing w:beforeAutospacing="0" w:afterAutospacing="0"/>
        <w:rPr>
          <w:highlight w:val="none"/>
        </w:rPr>
      </w:pPr>
      <w:r>
        <w:rPr>
          <w:rFonts w:hint="eastAsia" w:ascii="宋体" w:hAnsi="宋体" w:eastAsia="宋体" w:cs="宋体"/>
          <w:color w:val="000000"/>
          <w:highlight w:val="none"/>
        </w:rPr>
        <w:t xml:space="preserve">注：行数不够，可自行添加。</w:t>
      </w:r>
      <w:r/>
    </w:p>
    <w:p>
      <w:pPr>
        <w:pStyle w:val="708"/>
        <w:jc w:val="both"/>
        <w:spacing w:beforeAutospacing="0" w:afterAutospacing="0"/>
        <w:rPr>
          <w:highlight w:val="none"/>
        </w:rPr>
      </w:pPr>
      <w:r>
        <w:rPr>
          <w:highlight w:val="none"/>
        </w:rPr>
      </w:r>
      <w:r/>
    </w:p>
    <w:p>
      <w:pPr>
        <w:pStyle w:val="708"/>
        <w:ind w:right="1560" w:firstLine="624"/>
        <w:jc w:val="center"/>
        <w:spacing w:beforeAutospacing="0" w:afterAutospacing="0" w:line="0" w:lineRule="atLeast"/>
        <w:tabs>
          <w:tab w:val="left" w:pos="4864" w:leader="none"/>
        </w:tabs>
        <w:rPr>
          <w:highlight w:val="none"/>
        </w:rPr>
      </w:pPr>
      <w:r/>
      <w:bookmarkStart w:id="165" w:name="_Hlt26955054"/>
      <w:r>
        <w:rPr>
          <w:rFonts w:hint="eastAsia" w:ascii="宋体" w:hAnsi="宋体" w:eastAsia="宋体" w:cs="宋体"/>
          <w:color w:val="000000"/>
          <w:highlight w:val="none"/>
        </w:rPr>
        <w:t xml:space="preserve">供应商全称（加盖CA电子公章）：</w:t>
      </w:r>
      <w:r/>
    </w:p>
    <w:p>
      <w:pPr>
        <w:pStyle w:val="708"/>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日  期：</w:t>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708"/>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、商务要求响应及偏离表（分包号：**）</w:t>
      </w:r>
      <w:r/>
    </w:p>
    <w:tbl>
      <w:tblPr>
        <w:tblStyle w:val="68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bookmarkStart w:id="166" w:name="_Hlt26671372"/>
            <w:r/>
            <w:bookmarkStart w:id="167" w:name="_Hlt26955064"/>
            <w:r/>
            <w:bookmarkStart w:id="168" w:name="_Hlt26609391"/>
            <w:r/>
            <w:bookmarkStart w:id="169" w:name="_Hlt26782999"/>
            <w:r/>
            <w:bookmarkStart w:id="170" w:name="_Hlt26671343"/>
            <w:r/>
            <w:bookmarkStart w:id="171" w:name="_Hlt26955056"/>
            <w:r/>
            <w:bookmarkStart w:id="172" w:name="_Hlt26580838"/>
            <w:r/>
            <w:bookmarkStart w:id="173" w:name="_Hlt24879081"/>
            <w:r>
              <w:rPr>
                <w:rFonts w:hint="eastAsia" w:ascii="宋体" w:hAnsi="宋体" w:eastAsia="宋体" w:cs="宋体"/>
                <w:color w:val="000000"/>
                <w:highlight w:val="none"/>
              </w:rPr>
              <w:t xml:space="preserve">序号</w:t>
            </w:r>
            <w:bookmarkEnd w:id="166"/>
            <w:r/>
            <w:bookmarkEnd w:id="167"/>
            <w:r/>
            <w:bookmarkEnd w:id="168"/>
            <w:r/>
            <w:bookmarkEnd w:id="169"/>
            <w:r/>
            <w:bookmarkEnd w:id="170"/>
            <w:r/>
            <w:bookmarkEnd w:id="171"/>
            <w:r/>
            <w:bookmarkEnd w:id="172"/>
            <w:r/>
            <w:bookmarkEnd w:id="173"/>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0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bl>
    <w:p>
      <w:pPr>
        <w:pStyle w:val="70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ind w:firstLine="3150"/>
        <w:rPr>
          <w:rFonts w:hint="eastAsia" w:ascii="宋体" w:hAnsi="宋体" w:eastAsia="宋体" w:cs="宋体"/>
          <w:color w:val="000000"/>
          <w:highlight w:val="none"/>
        </w:rPr>
      </w:pPr>
      <w:r/>
      <w:bookmarkStart w:id="174" w:name="_Hlt26955066"/>
      <w:r/>
      <w:bookmarkStart w:id="175" w:name="_格式2__法定代表人授权书"/>
      <w:r/>
      <w:bookmarkStart w:id="176" w:name="_Hlt26671374"/>
      <w:r/>
      <w:bookmarkStart w:id="177" w:name="_Toc462564146"/>
      <w:r/>
      <w:bookmarkStart w:id="178" w:name="_Hlt26609389"/>
      <w:r/>
      <w:r/>
    </w:p>
    <w:p>
      <w:pPr>
        <w:ind w:firstLine="3150"/>
        <w:rPr>
          <w:highlight w:val="none"/>
        </w:rPr>
      </w:pPr>
      <w:r>
        <w:rPr>
          <w:rFonts w:hint="eastAsia" w:ascii="宋体" w:hAnsi="宋体" w:eastAsia="宋体" w:cs="宋体"/>
          <w:color w:val="000000"/>
          <w:highlight w:val="none"/>
        </w:rPr>
        <w:t xml:space="preserve">供应商全称（加盖CA电子公章）：</w:t>
      </w:r>
      <w:r/>
    </w:p>
    <w:p>
      <w:pPr>
        <w:pStyle w:val="708"/>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日  期：</w:t>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、技术方案、服务承诺、培训承诺等</w:t>
      </w:r>
      <w:r/>
    </w:p>
    <w:p>
      <w:pPr>
        <w:pStyle w:val="708"/>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ind w:firstLine="52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w:t>
      </w:r>
      <w:r/>
    </w:p>
    <w:p>
      <w:pPr>
        <w:ind w:firstLine="52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p>
    <w:p>
      <w:pPr>
        <w:ind w:firstLine="6000"/>
        <w:jc w:val="righ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20"/>
      <w:bookmarkEnd w:id="65"/>
      <w:bookmarkEnd w:id="66"/>
      <w:bookmarkEnd w:id="67"/>
      <w:bookmarkEnd w:id="70"/>
      <w:bookmarkEnd w:id="71"/>
      <w:bookmarkEnd w:id="72"/>
      <w:bookmarkEnd w:id="73"/>
      <w:bookmarkEnd w:id="74"/>
      <w:bookmarkEnd w:id="75"/>
      <w:bookmarkEnd w:id="76"/>
      <w:bookmarkEnd w:id="77"/>
      <w:bookmarkEnd w:id="78"/>
      <w:bookmarkEnd w:id="79"/>
      <w:bookmarkEnd w:id="80"/>
      <w:bookmarkEnd w:id="81"/>
      <w:bookmarkEnd w:id="82"/>
      <w:bookmarkEnd w:id="87"/>
      <w:bookmarkEnd w:id="88"/>
      <w:bookmarkEnd w:id="89"/>
      <w:bookmarkEnd w:id="94"/>
      <w:bookmarkEnd w:id="95"/>
      <w:bookmarkEnd w:id="102"/>
      <w:bookmarkEnd w:id="150"/>
      <w:bookmarkEnd w:id="153"/>
      <w:bookmarkEnd w:id="159"/>
      <w:bookmarkEnd w:id="160"/>
      <w:bookmarkEnd w:id="162"/>
      <w:bookmarkEnd w:id="163"/>
      <w:bookmarkEnd w:id="164"/>
      <w:bookmarkEnd w:id="165"/>
      <w:bookmarkEnd w:id="174"/>
      <w:bookmarkEnd w:id="175"/>
      <w:bookmarkEnd w:id="176"/>
      <w:bookmarkEnd w:id="177"/>
      <w:bookmarkEnd w:id="178"/>
      <w:r/>
    </w:p>
    <w:p>
      <w:pPr>
        <w:pStyle w:val="708"/>
        <w:jc w:val="center"/>
        <w:spacing w:beforeAutospacing="0" w:afterAutospacing="0"/>
        <w:rPr>
          <w:highlight w:val="none"/>
        </w:rPr>
      </w:pPr>
      <w:r>
        <w:rPr>
          <w:highlight w:val="none"/>
        </w:rPr>
      </w:r>
      <w:r/>
    </w:p>
    <w:p>
      <w:pPr>
        <w:rPr>
          <w:highlight w:val="none"/>
        </w:rPr>
      </w:pPr>
      <w:r>
        <w:rPr>
          <w:highlight w:val="none"/>
        </w:rPr>
      </w:r>
      <w:r/>
    </w:p>
    <w:p>
      <w:pPr>
        <w:rPr>
          <w:rFonts w:hint="eastAsia" w:ascii="黑体" w:hAnsi="Calibri"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p>
    <w:p>
      <w:pPr>
        <w:jc w:val="center"/>
        <w:spacing w:line="480" w:lineRule="exac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lang w:val="en-US" w:eastAsia="zh-CN"/>
        </w:rPr>
        <w:t xml:space="preserve">十八、</w:t>
      </w:r>
      <w:r>
        <w:rPr>
          <w:rFonts w:hint="eastAsia" w:ascii="宋体" w:hAnsi="宋体" w:eastAsia="宋体" w:cs="宋体"/>
          <w:b/>
          <w:bCs/>
          <w:color w:val="auto"/>
          <w:sz w:val="32"/>
          <w:szCs w:val="32"/>
          <w:highlight w:val="none"/>
        </w:rPr>
        <w:t xml:space="preserve">项目组组成人员一览表</w:t>
      </w:r>
      <w:r/>
    </w:p>
    <w:tbl>
      <w:tblPr>
        <w:tblStyle w:val="68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805"/>
        <w:gridCol w:w="753"/>
        <w:gridCol w:w="605"/>
        <w:gridCol w:w="910"/>
        <w:gridCol w:w="910"/>
        <w:gridCol w:w="1627"/>
        <w:gridCol w:w="1145"/>
        <w:gridCol w:w="1133"/>
      </w:tblGrid>
      <w:tr>
        <w:trPr>
          <w:jc w:val="center"/>
          <w:trHeight w:val="889"/>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执（职）业资格证或上岗证号</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学历及</w:t>
            </w:r>
            <w:r/>
          </w:p>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Height w:val="340" w:hRule="exact"/>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技术负责人</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hRule="exact"/>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安全负责人</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hRule="exact"/>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拟投入本项目组外业人员</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15</w:t>
            </w:r>
            <w:r/>
          </w:p>
          <w:p>
            <w:pPr>
              <w:jc w:val="center"/>
              <w:keepLines w:val="0"/>
              <w:keepNext w:val="0"/>
              <w:pageBreakBefore w:val="0"/>
              <w:spacing w:line="24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7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62" w:type="pct"/>
            <w:vAlign w:val="top"/>
            <w:textDirection w:val="lrTb"/>
            <w:noWrap w:val="false"/>
          </w:tcPr>
          <w:p>
            <w:pPr>
              <w:jc w:val="center"/>
              <w:keepLines w:val="0"/>
              <w:keepNext w:val="0"/>
              <w:pageBreakBefore w:val="0"/>
              <w:spacing w:line="240" w:lineRule="exac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numPr>
          <w:ilvl w:val="0"/>
          <w:numId w:val="0"/>
        </w:numPr>
        <w:jc w:val="both"/>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备注：1、</w:t>
      </w:r>
      <w:r>
        <w:rPr>
          <w:rFonts w:hint="eastAsia" w:cs="Times New Roman"/>
          <w:color w:val="auto"/>
          <w:sz w:val="24"/>
          <w:highlight w:val="none"/>
          <w:lang w:val="en-US" w:eastAsia="zh-CN"/>
        </w:rPr>
        <w:t xml:space="preserve">各采购包的每个镇区至少有2人常驻，在备注中标明</w:t>
      </w:r>
      <w:r>
        <w:rPr>
          <w:rFonts w:hint="eastAsia" w:ascii="宋体" w:hAnsi="宋体" w:eastAsia="宋体" w:cs="宋体"/>
          <w:color w:val="auto"/>
          <w:sz w:val="24"/>
          <w:szCs w:val="24"/>
          <w:highlight w:val="none"/>
          <w:lang w:val="en-US" w:eastAsia="zh-CN" w:bidi="ar-SA"/>
        </w:rPr>
        <w:t xml:space="preserve">。</w:t>
      </w:r>
      <w:r/>
    </w:p>
    <w:p>
      <w:pPr>
        <w:numPr>
          <w:ilvl w:val="0"/>
          <w:numId w:val="0"/>
        </w:numPr>
        <w:jc w:val="both"/>
        <w:rPr>
          <w:rFonts w:hint="default"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      2、</w:t>
      </w:r>
      <w:r>
        <w:rPr>
          <w:rFonts w:hint="eastAsia" w:cs="Times New Roman"/>
          <w:color w:val="auto"/>
          <w:sz w:val="24"/>
          <w:highlight w:val="none"/>
          <w:lang w:val="en-US" w:eastAsia="zh-CN"/>
        </w:rPr>
        <w:t xml:space="preserve">项目组外业人员（不含项目负责人、技术负责人、安全负责人）不少于20人，如不满足则为无效标。</w:t>
      </w:r>
      <w:r/>
    </w:p>
    <w:p>
      <w:pPr>
        <w:pStyle w:val="70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08"/>
        <w:ind w:right="480" w:firstLine="48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jc w:val="center"/>
        <w:spacing w:line="480" w:lineRule="exact"/>
        <w:rPr>
          <w:rFonts w:hint="eastAsia" w:ascii="宋体" w:hAnsi="宋体" w:eastAsia="宋体" w:cs="宋体"/>
          <w:b/>
          <w:bCs/>
          <w:color w:val="auto"/>
          <w:sz w:val="32"/>
          <w:szCs w:val="32"/>
          <w:highlight w:val="none"/>
          <w:lang w:val="en-US" w:eastAsia="zh-CN"/>
        </w:rPr>
      </w:pPr>
      <w:r/>
      <w:bookmarkStart w:id="179" w:name="_Toc2701"/>
      <w:r>
        <w:rPr>
          <w:rFonts w:hint="eastAsia" w:ascii="宋体" w:hAnsi="宋体" w:eastAsia="宋体" w:cs="宋体"/>
          <w:b/>
          <w:bCs/>
          <w:color w:val="auto"/>
          <w:sz w:val="32"/>
          <w:szCs w:val="32"/>
          <w:highlight w:val="none"/>
          <w:lang w:val="en-US" w:eastAsia="zh-CN"/>
        </w:rPr>
        <w:t xml:space="preserve">十九、服务承诺</w:t>
      </w:r>
      <w:bookmarkEnd w:id="179"/>
      <w:r/>
      <w:r/>
    </w:p>
    <w:p>
      <w:pPr>
        <w:rPr>
          <w:rFonts w:hint="eastAsia" w:ascii="仿宋_GB2312" w:eastAsia="仿宋_GB2312"/>
          <w:sz w:val="24"/>
        </w:rPr>
      </w:pPr>
      <w:r>
        <w:rPr>
          <w:rFonts w:hint="eastAsia" w:ascii="仿宋_GB2312" w:eastAsia="仿宋_GB2312"/>
          <w:sz w:val="24"/>
        </w:rPr>
      </w:r>
      <w:r/>
    </w:p>
    <w:p>
      <w:pPr>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如我方</w:t>
      </w:r>
      <w:r>
        <w:rPr>
          <w:rFonts w:hint="eastAsia" w:ascii="宋体" w:hAnsi="宋体" w:eastAsia="宋体" w:cs="宋体"/>
          <w:sz w:val="24"/>
          <w:highlight w:val="none"/>
          <w:lang w:val="en-US" w:eastAsia="zh-CN"/>
        </w:rPr>
        <w:t xml:space="preserve">中标</w:t>
      </w:r>
      <w:r>
        <w:rPr>
          <w:rFonts w:hint="eastAsia" w:ascii="宋体" w:hAnsi="宋体" w:eastAsia="宋体" w:cs="宋体"/>
          <w:sz w:val="24"/>
          <w:highlight w:val="none"/>
        </w:rPr>
        <w:t xml:space="preserve">，郑重承诺如下：</w:t>
      </w:r>
      <w:r/>
    </w:p>
    <w:p>
      <w:pPr>
        <w:ind w:firstLine="42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经认真分析，领会了贵方提供的</w:t>
      </w:r>
      <w:r>
        <w:rPr>
          <w:rFonts w:hint="eastAsia" w:ascii="宋体" w:hAnsi="宋体" w:eastAsia="宋体" w:cs="宋体"/>
          <w:color w:val="000000"/>
          <w:sz w:val="24"/>
          <w:szCs w:val="24"/>
          <w:highlight w:val="none"/>
          <w:u w:val="single"/>
          <w:lang w:val="en-US" w:eastAsia="zh-CN"/>
        </w:rPr>
        <w:t xml:space="preserve">                            （项目名称）</w:t>
      </w:r>
      <w:r>
        <w:rPr>
          <w:rFonts w:hint="eastAsia" w:ascii="宋体" w:hAnsi="宋体" w:eastAsia="宋体" w:cs="宋体"/>
          <w:sz w:val="24"/>
          <w:highlight w:val="none"/>
        </w:rPr>
        <w:t xml:space="preserve">的</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文件，依据贵方</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文件中提出的各项要求，我方在此郑重表示：</w:t>
      </w:r>
      <w:r/>
    </w:p>
    <w:p>
      <w:pPr>
        <w:ind w:firstLine="42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1.我方保证按</w:t>
      </w:r>
      <w:r>
        <w:rPr>
          <w:rFonts w:hint="eastAsia" w:ascii="宋体" w:hAnsi="宋体" w:eastAsia="宋体" w:cs="宋体"/>
          <w:sz w:val="24"/>
          <w:highlight w:val="none"/>
          <w:lang w:val="en-US" w:eastAsia="zh-CN"/>
        </w:rPr>
        <w:t xml:space="preserve">投标文件</w:t>
      </w:r>
      <w:r>
        <w:rPr>
          <w:rFonts w:hint="eastAsia" w:ascii="宋体" w:hAnsi="宋体" w:eastAsia="宋体" w:cs="宋体"/>
          <w:sz w:val="24"/>
          <w:highlight w:val="none"/>
        </w:rPr>
        <w:t xml:space="preserve">所列的人员及设备进场实施</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并承诺在服务期内确保所中</w:t>
      </w:r>
      <w:r>
        <w:rPr>
          <w:rFonts w:hint="eastAsia" w:cs="Times New Roman"/>
          <w:color w:val="auto"/>
          <w:sz w:val="24"/>
          <w:highlight w:val="none"/>
          <w:lang w:val="en-US" w:eastAsia="zh-CN"/>
        </w:rPr>
        <w:t xml:space="preserve">采购包的每个镇区至少有2人常驻</w:t>
      </w:r>
      <w:r>
        <w:rPr>
          <w:rFonts w:hint="eastAsia" w:ascii="宋体" w:hAnsi="宋体" w:eastAsia="宋体" w:cs="宋体"/>
          <w:sz w:val="24"/>
          <w:highlight w:val="none"/>
        </w:rPr>
        <w:t xml:space="preserve">。</w:t>
      </w:r>
      <w:r/>
    </w:p>
    <w:p>
      <w:pPr>
        <w:ind w:firstLine="42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2.我方保证按照</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文件的质量要求进行实施。</w:t>
      </w:r>
      <w:r/>
    </w:p>
    <w:p>
      <w:pPr>
        <w:ind w:firstLine="42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3.如果我们的</w:t>
      </w:r>
      <w:r>
        <w:rPr>
          <w:rFonts w:hint="eastAsia" w:ascii="宋体" w:hAnsi="宋体" w:eastAsia="宋体" w:cs="宋体"/>
          <w:sz w:val="24"/>
          <w:highlight w:val="none"/>
          <w:lang w:val="en-US" w:eastAsia="zh-CN"/>
        </w:rPr>
        <w:t xml:space="preserve">投标文件</w:t>
      </w:r>
      <w:r>
        <w:rPr>
          <w:rFonts w:hint="eastAsia" w:ascii="宋体" w:hAnsi="宋体" w:eastAsia="宋体" w:cs="宋体"/>
          <w:sz w:val="24"/>
          <w:highlight w:val="none"/>
        </w:rPr>
        <w:t xml:space="preserve">被接受，我们将严格履行</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文件中规定的每一项要求，按期、保质、保量履行义务。</w:t>
      </w:r>
      <w:r/>
    </w:p>
    <w:p>
      <w:pPr>
        <w:ind w:firstLine="42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4.我方愿意承担</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文件中对</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规定的各项责任。</w:t>
      </w:r>
      <w:r/>
    </w:p>
    <w:p>
      <w:pPr>
        <w:ind w:firstLine="42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5.我方同意如发现我方提供的材料虚假或对</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文件所要求说明的情况故意隐瞒或虚报，如中标则取消中标资格。</w:t>
      </w:r>
      <w:r/>
    </w:p>
    <w:p>
      <w:pPr>
        <w:ind w:firstLine="46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ind w:firstLine="46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ind w:firstLine="460"/>
        <w:spacing w:line="460" w:lineRule="exact"/>
        <w:rPr>
          <w:rFonts w:hint="eastAsia" w:ascii="宋体" w:hAnsi="宋体" w:eastAsia="宋体" w:cs="宋体"/>
          <w:sz w:val="24"/>
        </w:rPr>
      </w:pPr>
      <w:r>
        <w:rPr>
          <w:rFonts w:hint="eastAsia" w:ascii="宋体" w:hAnsi="宋体" w:eastAsia="宋体" w:cs="宋体"/>
          <w:sz w:val="24"/>
        </w:rPr>
      </w:r>
      <w:r/>
    </w:p>
    <w:p>
      <w:pPr>
        <w:ind w:firstLine="460"/>
        <w:spacing w:line="460" w:lineRule="exact"/>
        <w:rPr>
          <w:rFonts w:hint="eastAsia" w:ascii="宋体" w:hAnsi="宋体" w:eastAsia="宋体" w:cs="宋体"/>
          <w:sz w:val="24"/>
        </w:rPr>
      </w:pPr>
      <w:r>
        <w:rPr>
          <w:rFonts w:hint="eastAsia" w:ascii="宋体" w:hAnsi="宋体" w:eastAsia="宋体" w:cs="宋体"/>
          <w:sz w:val="24"/>
        </w:rPr>
      </w:r>
      <w:r/>
    </w:p>
    <w:p>
      <w:pPr>
        <w:ind w:firstLine="1680"/>
        <w:spacing w:line="460" w:lineRule="exact"/>
        <w:rPr>
          <w:rFonts w:hint="eastAsia" w:ascii="宋体" w:hAnsi="宋体" w:eastAsia="宋体" w:cs="宋体"/>
          <w:sz w:val="24"/>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被授权人</w:t>
      </w:r>
      <w:r>
        <w:rPr>
          <w:rFonts w:hint="eastAsia" w:ascii="宋体" w:hAnsi="宋体" w:eastAsia="宋体" w:cs="宋体"/>
          <w:sz w:val="24"/>
        </w:rPr>
        <w:t xml:space="preserve">签字：</w:t>
      </w:r>
      <w:r/>
    </w:p>
    <w:p>
      <w:pPr>
        <w:ind w:firstLine="1680"/>
        <w:spacing w:line="460" w:lineRule="exact"/>
        <w:rPr>
          <w:rFonts w:hint="eastAsia" w:ascii="宋体" w:hAnsi="宋体" w:eastAsia="宋体" w:cs="宋体"/>
          <w:sz w:val="24"/>
        </w:rPr>
      </w:pPr>
      <w:r>
        <w:rPr>
          <w:rFonts w:hint="eastAsia" w:ascii="宋体" w:hAnsi="宋体" w:eastAsia="宋体" w:cs="宋体"/>
          <w:sz w:val="24"/>
        </w:rPr>
      </w:r>
      <w:r/>
    </w:p>
    <w:p>
      <w:pPr>
        <w:ind w:firstLine="1680"/>
        <w:spacing w:line="460" w:lineRule="exact"/>
        <w:rPr>
          <w:rFonts w:hint="eastAsia" w:ascii="宋体" w:hAnsi="宋体" w:eastAsia="宋体" w:cs="宋体"/>
          <w:sz w:val="24"/>
        </w:rPr>
      </w:pPr>
      <w:r>
        <w:rPr>
          <w:rFonts w:hint="eastAsia" w:ascii="宋体" w:hAnsi="宋体" w:eastAsia="宋体" w:cs="宋体"/>
          <w:sz w:val="24"/>
          <w:lang w:eastAsia="zh-CN"/>
        </w:rPr>
        <w:t xml:space="preserve">供应商</w:t>
      </w:r>
      <w:r>
        <w:rPr>
          <w:rFonts w:hint="eastAsia" w:ascii="宋体" w:hAnsi="宋体" w:eastAsia="宋体" w:cs="宋体"/>
          <w:sz w:val="24"/>
        </w:rPr>
        <w:t xml:space="preserve">（盖单位公章）：</w:t>
      </w:r>
      <w:r/>
    </w:p>
    <w:p>
      <w:pPr>
        <w:ind w:firstLine="1680"/>
        <w:spacing w:line="460" w:lineRule="exact"/>
        <w:rPr>
          <w:rFonts w:hint="eastAsia" w:ascii="宋体" w:hAnsi="宋体" w:eastAsia="宋体" w:cs="宋体"/>
          <w:sz w:val="24"/>
        </w:rPr>
      </w:pPr>
      <w:r>
        <w:rPr>
          <w:rFonts w:hint="eastAsia" w:ascii="宋体" w:hAnsi="宋体" w:eastAsia="宋体" w:cs="宋体"/>
          <w:sz w:val="24"/>
        </w:rPr>
        <w:t xml:space="preserve"> </w:t>
      </w:r>
      <w:r/>
    </w:p>
    <w:p>
      <w:pPr>
        <w:jc w:val="right"/>
        <w:spacing w:line="46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right"/>
        <w:rPr>
          <w:rFonts w:ascii="仿宋_GB2312" w:eastAsia="仿宋_GB2312"/>
          <w:color w:val="auto"/>
          <w:sz w:val="24"/>
          <w:highlight w:val="none"/>
        </w:rPr>
      </w:pPr>
      <w:r>
        <w:rPr>
          <w:rFonts w:ascii="仿宋_GB2312" w:eastAsia="仿宋_GB2312"/>
          <w:color w:val="auto"/>
          <w:sz w:val="24"/>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708"/>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708"/>
        <w:jc w:val="both"/>
        <w:keepLines w:val="0"/>
        <w:keepNext w:val="0"/>
        <w:pageBreakBefore w:val="0"/>
        <w:spacing w:before="290"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708"/>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708"/>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708"/>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08"/>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8"/>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08"/>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08"/>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08"/>
        <w:ind w:firstLine="480"/>
        <w:keepLines w:val="0"/>
        <w:keepNext w:val="0"/>
        <w:pageBreakBefore w:val="0"/>
        <w:spacing w:beforeAutospacing="0" w:afterAutospacing="0" w:line="360" w:lineRule="exact"/>
        <w:widowControl/>
        <w:rPr>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5">
    <w:name w:val="Heading 1"/>
    <w:basedOn w:val="674"/>
    <w:next w:val="674"/>
    <w:link w:val="869"/>
    <w:uiPriority w:val="0"/>
    <w:qFormat/>
    <w:pPr>
      <w:jc w:val="left"/>
      <w:keepLines/>
      <w:keepNext/>
      <w:spacing w:before="100" w:beforeAutospacing="0" w:after="90" w:afterAutospacing="0" w:line="240" w:lineRule="auto"/>
      <w:outlineLvl w:val="0"/>
    </w:pPr>
    <w:rPr>
      <w:rFonts w:ascii="Arial" w:hAnsi="Arial" w:eastAsia="宋体" w:cs="Arial"/>
      <w:b/>
      <w:color w:val="000000"/>
      <w:sz w:val="32"/>
      <w:szCs w:val="21"/>
      <w:lang w:eastAsia="en-US"/>
    </w:rPr>
  </w:style>
  <w:style w:type="paragraph" w:styleId="676">
    <w:name w:val="Heading 2"/>
    <w:basedOn w:val="674"/>
    <w:next w:val="67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77">
    <w:name w:val="Heading 3"/>
    <w:basedOn w:val="674"/>
    <w:next w:val="674"/>
    <w:link w:val="717"/>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718"/>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19"/>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20"/>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22"/>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3"/>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pPr>
      <w:ind w:left="1701" w:right="0" w:firstLine="0"/>
      <w:spacing w:after="57"/>
    </w:pPr>
  </w:style>
  <w:style w:type="paragraph" w:styleId="687">
    <w:name w:val="table of authorities"/>
    <w:basedOn w:val="674"/>
    <w:next w:val="674"/>
    <w:uiPriority w:val="0"/>
    <w:qFormat/>
    <w:pPr>
      <w:ind w:left="420"/>
    </w:pPr>
    <w:rPr>
      <w:rFonts w:ascii="Times New Roman" w:hAnsi="Times New Roman" w:eastAsia="宋体" w:cs="Times New Roman"/>
      <w:szCs w:val="21"/>
    </w:rPr>
  </w:style>
  <w:style w:type="paragraph" w:styleId="688">
    <w:name w:val="Caption"/>
    <w:basedOn w:val="674"/>
    <w:next w:val="67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9">
    <w:name w:val="annotation text"/>
    <w:basedOn w:val="674"/>
    <w:uiPriority w:val="0"/>
    <w:qFormat/>
    <w:pPr>
      <w:jc w:val="left"/>
    </w:pPr>
  </w:style>
  <w:style w:type="paragraph" w:styleId="690">
    <w:name w:val="Body Text"/>
    <w:basedOn w:val="674"/>
    <w:next w:val="691"/>
    <w:uiPriority w:val="0"/>
    <w:semiHidden/>
    <w:qFormat/>
    <w:rPr>
      <w:rFonts w:ascii="仿宋" w:hAnsi="仿宋" w:eastAsia="仿宋" w:cs="仿宋"/>
      <w:sz w:val="31"/>
      <w:szCs w:val="31"/>
      <w:lang w:val="en-US" w:eastAsia="en-US" w:bidi="ar-SA"/>
    </w:rPr>
  </w:style>
  <w:style w:type="paragraph" w:styleId="691">
    <w:name w:val="Body Text First Indent"/>
    <w:basedOn w:val="690"/>
    <w:next w:val="692"/>
    <w:uiPriority w:val="0"/>
    <w:qFormat/>
    <w:pPr>
      <w:ind w:firstLine="420"/>
    </w:pPr>
    <w:rPr>
      <w:rFonts w:ascii="Calibri" w:hAnsi="Calibri"/>
      <w:sz w:val="21"/>
      <w:szCs w:val="22"/>
    </w:rPr>
  </w:style>
  <w:style w:type="paragraph" w:styleId="692">
    <w:name w:val="toc 6"/>
    <w:basedOn w:val="674"/>
    <w:next w:val="674"/>
    <w:uiPriority w:val="0"/>
    <w:qFormat/>
    <w:pPr>
      <w:ind w:left="1200"/>
      <w:jc w:val="left"/>
    </w:pPr>
    <w:rPr>
      <w:sz w:val="18"/>
      <w:szCs w:val="18"/>
    </w:rPr>
  </w:style>
  <w:style w:type="paragraph" w:styleId="693">
    <w:name w:val="Body Text Indent"/>
    <w:basedOn w:val="674"/>
    <w:next w:val="674"/>
    <w:uiPriority w:val="0"/>
    <w:qFormat/>
    <w:pPr>
      <w:ind w:firstLine="480"/>
      <w:spacing w:line="480" w:lineRule="exact"/>
    </w:pPr>
    <w:rPr>
      <w:rFonts w:ascii="宋体" w:hAnsi="宋体"/>
      <w:sz w:val="24"/>
    </w:rPr>
  </w:style>
  <w:style w:type="paragraph" w:styleId="694">
    <w:name w:val="toc 5"/>
    <w:basedOn w:val="674"/>
    <w:next w:val="674"/>
    <w:uiPriority w:val="39"/>
    <w:unhideWhenUsed/>
    <w:qFormat/>
    <w:pPr>
      <w:ind w:left="1134" w:right="0" w:firstLine="0"/>
      <w:spacing w:after="57"/>
    </w:pPr>
  </w:style>
  <w:style w:type="paragraph" w:styleId="695">
    <w:name w:val="toc 3"/>
    <w:basedOn w:val="674"/>
    <w:next w:val="674"/>
    <w:uiPriority w:val="39"/>
    <w:unhideWhenUsed/>
    <w:pPr>
      <w:ind w:left="567" w:right="0" w:firstLine="0"/>
      <w:spacing w:after="57"/>
    </w:pPr>
  </w:style>
  <w:style w:type="paragraph" w:styleId="696">
    <w:name w:val="Plain Text"/>
    <w:basedOn w:val="674"/>
    <w:uiPriority w:val="0"/>
    <w:qFormat/>
    <w:pPr>
      <w:spacing w:beforeAutospacing="0" w:afterAutospacing="0" w:line="312" w:lineRule="atLeast"/>
    </w:pPr>
    <w:rPr>
      <w:rFonts w:hAnsi="Courier New"/>
      <w:sz w:val="21"/>
    </w:rPr>
  </w:style>
  <w:style w:type="paragraph" w:styleId="697">
    <w:name w:val="toc 8"/>
    <w:basedOn w:val="674"/>
    <w:next w:val="674"/>
    <w:uiPriority w:val="39"/>
    <w:unhideWhenUsed/>
    <w:qFormat/>
    <w:pPr>
      <w:ind w:left="1984" w:right="0" w:firstLine="0"/>
      <w:spacing w:after="57"/>
    </w:pPr>
  </w:style>
  <w:style w:type="paragraph" w:styleId="698">
    <w:name w:val="endnote text"/>
    <w:basedOn w:val="674"/>
    <w:link w:val="861"/>
    <w:uiPriority w:val="99"/>
    <w:semiHidden/>
    <w:unhideWhenUsed/>
    <w:qFormat/>
    <w:pPr>
      <w:spacing w:after="0" w:line="240" w:lineRule="auto"/>
    </w:pPr>
    <w:rPr>
      <w:sz w:val="20"/>
    </w:rPr>
  </w:style>
  <w:style w:type="paragraph" w:styleId="699">
    <w:name w:val="Footer"/>
    <w:basedOn w:val="674"/>
    <w:link w:val="865"/>
    <w:uiPriority w:val="0"/>
    <w:qFormat/>
    <w:pPr>
      <w:jc w:val="left"/>
      <w:tabs>
        <w:tab w:val="center" w:pos="4153" w:leader="none"/>
        <w:tab w:val="right" w:pos="8306" w:leader="none"/>
      </w:tabs>
    </w:pPr>
    <w:rPr>
      <w:sz w:val="18"/>
      <w:szCs w:val="18"/>
    </w:rPr>
  </w:style>
  <w:style w:type="paragraph" w:styleId="700">
    <w:name w:val="Header"/>
    <w:basedOn w:val="674"/>
    <w:link w:val="864"/>
    <w:uiPriority w:val="0"/>
    <w:qFormat/>
    <w:pPr>
      <w:jc w:val="center"/>
      <w:tabs>
        <w:tab w:val="center" w:pos="4153" w:leader="none"/>
        <w:tab w:val="right" w:pos="8306" w:leader="none"/>
      </w:tabs>
      <w:pBdr>
        <w:bottom w:val="single" w:color="auto" w:sz="6" w:space="1"/>
      </w:pBdr>
    </w:pPr>
    <w:rPr>
      <w:sz w:val="18"/>
      <w:szCs w:val="18"/>
    </w:rPr>
  </w:style>
  <w:style w:type="paragraph" w:styleId="701">
    <w:name w:val="toc 1"/>
    <w:basedOn w:val="674"/>
    <w:next w:val="674"/>
    <w:uiPriority w:val="0"/>
    <w:qFormat/>
  </w:style>
  <w:style w:type="paragraph" w:styleId="702">
    <w:name w:val="toc 4"/>
    <w:basedOn w:val="674"/>
    <w:next w:val="674"/>
    <w:uiPriority w:val="39"/>
    <w:unhideWhenUsed/>
    <w:pPr>
      <w:ind w:left="850" w:right="0" w:firstLine="0"/>
      <w:spacing w:after="57"/>
    </w:pPr>
  </w:style>
  <w:style w:type="paragraph" w:styleId="703">
    <w:name w:val="Subtitle"/>
    <w:basedOn w:val="674"/>
    <w:next w:val="674"/>
    <w:link w:val="727"/>
    <w:uiPriority w:val="11"/>
    <w:qFormat/>
    <w:pPr>
      <w:spacing w:before="200" w:after="200"/>
    </w:pPr>
    <w:rPr>
      <w:sz w:val="24"/>
      <w:szCs w:val="24"/>
    </w:rPr>
  </w:style>
  <w:style w:type="paragraph" w:styleId="704">
    <w:name w:val="footnote text"/>
    <w:basedOn w:val="674"/>
    <w:link w:val="860"/>
    <w:uiPriority w:val="99"/>
    <w:semiHidden/>
    <w:unhideWhenUsed/>
    <w:qFormat/>
    <w:pPr>
      <w:spacing w:after="40" w:line="240" w:lineRule="auto"/>
    </w:pPr>
    <w:rPr>
      <w:sz w:val="18"/>
    </w:rPr>
  </w:style>
  <w:style w:type="paragraph" w:styleId="705">
    <w:name w:val="table of figures"/>
    <w:basedOn w:val="674"/>
    <w:next w:val="674"/>
    <w:uiPriority w:val="99"/>
    <w:unhideWhenUsed/>
    <w:qFormat/>
    <w:pPr>
      <w:spacing w:after="0" w:afterAutospacing="0"/>
    </w:pPr>
  </w:style>
  <w:style w:type="paragraph" w:styleId="706">
    <w:name w:val="toc 2"/>
    <w:basedOn w:val="674"/>
    <w:next w:val="674"/>
    <w:uiPriority w:val="39"/>
    <w:unhideWhenUsed/>
    <w:qFormat/>
    <w:pPr>
      <w:ind w:left="283" w:right="0" w:firstLine="0"/>
      <w:spacing w:after="57"/>
    </w:pPr>
  </w:style>
  <w:style w:type="paragraph" w:styleId="707">
    <w:name w:val="toc 9"/>
    <w:basedOn w:val="674"/>
    <w:next w:val="674"/>
    <w:uiPriority w:val="39"/>
    <w:unhideWhenUsed/>
    <w:pPr>
      <w:ind w:left="2268" w:right="0" w:firstLine="0"/>
      <w:spacing w:after="57"/>
    </w:pPr>
  </w:style>
  <w:style w:type="paragraph" w:styleId="708">
    <w:name w:val="Normal (Web)"/>
    <w:basedOn w:val="674"/>
    <w:uiPriority w:val="0"/>
    <w:qFormat/>
    <w:pPr>
      <w:jc w:val="left"/>
      <w:spacing w:beforeAutospacing="1" w:afterAutospacing="1"/>
    </w:pPr>
    <w:rPr>
      <w:rFonts w:cs="Times New Roman"/>
      <w:sz w:val="24"/>
    </w:rPr>
  </w:style>
  <w:style w:type="paragraph" w:styleId="709">
    <w:name w:val="Title"/>
    <w:basedOn w:val="674"/>
    <w:next w:val="674"/>
    <w:link w:val="726"/>
    <w:uiPriority w:val="10"/>
    <w:qFormat/>
    <w:pPr>
      <w:contextualSpacing/>
      <w:spacing w:before="300" w:after="200"/>
    </w:pPr>
    <w:rPr>
      <w:sz w:val="48"/>
      <w:szCs w:val="48"/>
    </w:rPr>
  </w:style>
  <w:style w:type="paragraph" w:styleId="710">
    <w:name w:val="Body Text First Indent 2"/>
    <w:basedOn w:val="693"/>
    <w:uiPriority w:val="0"/>
    <w:qFormat/>
    <w:pPr>
      <w:ind w:firstLine="480"/>
      <w:spacing w:after="160"/>
    </w:pPr>
    <w:rPr>
      <w:rFonts w:ascii="仿宋_GB2312" w:hAnsi="宋体" w:eastAsia="仿宋_GB2312" w:cs="宋体"/>
      <w:b/>
      <w:bCs/>
      <w:color w:val="000000"/>
      <w:sz w:val="24"/>
      <w:szCs w:val="21"/>
    </w:rPr>
  </w:style>
  <w:style w:type="table" w:styleId="711">
    <w:name w:val="Table Grid"/>
    <w:basedOn w:val="6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2">
    <w:name w:val="endnote reference"/>
    <w:basedOn w:val="684"/>
    <w:uiPriority w:val="99"/>
    <w:semiHidden/>
    <w:unhideWhenUsed/>
    <w:qFormat/>
    <w:rPr>
      <w:vertAlign w:val="superscript"/>
    </w:rPr>
  </w:style>
  <w:style w:type="character" w:styleId="713">
    <w:name w:val="Hyperlink"/>
    <w:uiPriority w:val="99"/>
    <w:unhideWhenUsed/>
    <w:qFormat/>
    <w:rPr>
      <w:color w:val="0563c1" w:themeColor="hyperlink"/>
      <w:u w:val="single"/>
      <w14:textFill>
        <w14:solidFill>
          <w14:schemeClr w14:val="hlink"/>
        </w14:solidFill>
      </w14:textFill>
    </w:rPr>
  </w:style>
  <w:style w:type="character" w:styleId="714">
    <w:name w:val="footnote reference"/>
    <w:basedOn w:val="684"/>
    <w:uiPriority w:val="99"/>
    <w:unhideWhenUsed/>
    <w:rPr>
      <w:vertAlign w:val="superscript"/>
    </w:rPr>
  </w:style>
  <w:style w:type="character" w:styleId="715" w:customStyle="1">
    <w:name w:val="Heading 1 Char"/>
    <w:basedOn w:val="684"/>
    <w:uiPriority w:val="9"/>
    <w:qFormat/>
    <w:rPr>
      <w:rFonts w:ascii="Arial" w:hAnsi="Arial" w:eastAsia="Arial" w:cs="Arial"/>
      <w:sz w:val="40"/>
      <w:szCs w:val="40"/>
    </w:rPr>
  </w:style>
  <w:style w:type="character" w:styleId="716" w:customStyle="1">
    <w:name w:val="Heading 2 Char"/>
    <w:basedOn w:val="684"/>
    <w:uiPriority w:val="9"/>
    <w:qFormat/>
    <w:rPr>
      <w:rFonts w:ascii="Arial" w:hAnsi="Arial" w:eastAsia="Arial" w:cs="Arial"/>
      <w:sz w:val="34"/>
    </w:rPr>
  </w:style>
  <w:style w:type="character" w:styleId="717" w:customStyle="1">
    <w:name w:val="Heading 3 Char"/>
    <w:basedOn w:val="684"/>
    <w:link w:val="677"/>
    <w:uiPriority w:val="9"/>
    <w:rPr>
      <w:rFonts w:ascii="Arial" w:hAnsi="Arial" w:eastAsia="Arial" w:cs="Arial"/>
      <w:sz w:val="30"/>
      <w:szCs w:val="30"/>
    </w:rPr>
  </w:style>
  <w:style w:type="character" w:styleId="718" w:customStyle="1">
    <w:name w:val="Heading 4 Char"/>
    <w:basedOn w:val="684"/>
    <w:link w:val="678"/>
    <w:uiPriority w:val="9"/>
    <w:rPr>
      <w:rFonts w:ascii="Arial" w:hAnsi="Arial" w:eastAsia="Arial" w:cs="Arial"/>
      <w:b/>
      <w:bCs/>
      <w:sz w:val="26"/>
      <w:szCs w:val="26"/>
    </w:rPr>
  </w:style>
  <w:style w:type="character" w:styleId="719" w:customStyle="1">
    <w:name w:val="Heading 5 Char"/>
    <w:basedOn w:val="684"/>
    <w:link w:val="679"/>
    <w:uiPriority w:val="9"/>
    <w:rPr>
      <w:rFonts w:ascii="Arial" w:hAnsi="Arial" w:eastAsia="Arial" w:cs="Arial"/>
      <w:b/>
      <w:bCs/>
      <w:sz w:val="24"/>
      <w:szCs w:val="24"/>
    </w:rPr>
  </w:style>
  <w:style w:type="character" w:styleId="720" w:customStyle="1">
    <w:name w:val="Heading 6 Char"/>
    <w:basedOn w:val="684"/>
    <w:link w:val="680"/>
    <w:uiPriority w:val="9"/>
    <w:qFormat/>
    <w:rPr>
      <w:rFonts w:ascii="Arial" w:hAnsi="Arial" w:eastAsia="Arial" w:cs="Arial"/>
      <w:b/>
      <w:bCs/>
      <w:sz w:val="22"/>
      <w:szCs w:val="22"/>
    </w:rPr>
  </w:style>
  <w:style w:type="character" w:styleId="721" w:customStyle="1">
    <w:name w:val="Heading 7 Char"/>
    <w:basedOn w:val="684"/>
    <w:link w:val="681"/>
    <w:uiPriority w:val="9"/>
    <w:rPr>
      <w:rFonts w:ascii="Arial" w:hAnsi="Arial" w:eastAsia="Arial" w:cs="Arial"/>
      <w:b/>
      <w:bCs/>
      <w:i/>
      <w:iCs/>
      <w:sz w:val="22"/>
      <w:szCs w:val="22"/>
    </w:rPr>
  </w:style>
  <w:style w:type="character" w:styleId="722" w:customStyle="1">
    <w:name w:val="Heading 8 Char"/>
    <w:basedOn w:val="684"/>
    <w:link w:val="682"/>
    <w:uiPriority w:val="9"/>
    <w:qFormat/>
    <w:rPr>
      <w:rFonts w:ascii="Arial" w:hAnsi="Arial" w:eastAsia="Arial" w:cs="Arial"/>
      <w:i/>
      <w:iCs/>
      <w:sz w:val="22"/>
      <w:szCs w:val="22"/>
    </w:rPr>
  </w:style>
  <w:style w:type="character" w:styleId="723" w:customStyle="1">
    <w:name w:val="Heading 9 Char"/>
    <w:basedOn w:val="684"/>
    <w:link w:val="683"/>
    <w:uiPriority w:val="9"/>
    <w:qFormat/>
    <w:rPr>
      <w:rFonts w:ascii="Arial" w:hAnsi="Arial" w:eastAsia="Arial" w:cs="Arial"/>
      <w:i/>
      <w:iCs/>
      <w:sz w:val="21"/>
      <w:szCs w:val="21"/>
    </w:rPr>
  </w:style>
  <w:style w:type="paragraph" w:styleId="724">
    <w:name w:val="List Paragraph"/>
    <w:basedOn w:val="674"/>
    <w:uiPriority w:val="34"/>
    <w:qFormat/>
    <w:pPr>
      <w:contextualSpacing/>
      <w:ind w:left="720"/>
    </w:p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basedOn w:val="684"/>
    <w:link w:val="709"/>
    <w:uiPriority w:val="10"/>
    <w:qFormat/>
    <w:rPr>
      <w:sz w:val="48"/>
      <w:szCs w:val="48"/>
    </w:rPr>
  </w:style>
  <w:style w:type="character" w:styleId="727" w:customStyle="1">
    <w:name w:val="Subtitle Char"/>
    <w:basedOn w:val="684"/>
    <w:link w:val="703"/>
    <w:uiPriority w:val="11"/>
    <w:qFormat/>
    <w:rPr>
      <w:sz w:val="24"/>
      <w:szCs w:val="24"/>
    </w:rPr>
  </w:style>
  <w:style w:type="paragraph" w:styleId="728">
    <w:name w:val="Quote"/>
    <w:basedOn w:val="674"/>
    <w:next w:val="674"/>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74"/>
    <w:next w:val="674"/>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rPr>
      <w:i/>
    </w:rPr>
  </w:style>
  <w:style w:type="character" w:styleId="732" w:customStyle="1">
    <w:name w:val="Header Char"/>
    <w:basedOn w:val="684"/>
    <w:uiPriority w:val="99"/>
    <w:qFormat/>
  </w:style>
  <w:style w:type="character" w:styleId="733" w:customStyle="1">
    <w:name w:val="Footer Char"/>
    <w:basedOn w:val="684"/>
    <w:uiPriority w:val="99"/>
    <w:qFormat/>
  </w:style>
  <w:style w:type="character" w:styleId="734" w:customStyle="1">
    <w:name w:val="Caption Char"/>
    <w:uiPriority w:val="99"/>
    <w:qFormat/>
  </w:style>
  <w:style w:type="table" w:styleId="735" w:customStyle="1">
    <w:name w:val="Table Grid Light"/>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basedOn w:val="68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basedOn w:val="68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basedOn w:val="68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basedOn w:val="6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basedOn w:val="68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basedOn w:val="68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basedOn w:val="6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basedOn w:val="68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basedOn w:val="6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basedOn w:val="6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basedOn w:val="6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basedOn w:val="68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4" w:customStyle="1">
    <w:name w:val="Grid Table 2 - Accent 6"/>
    <w:basedOn w:val="6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5"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basedOn w:val="68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basedOn w:val="6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basedOn w:val="6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basedOn w:val="6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basedOn w:val="68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basedOn w:val="6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basedOn w:val="68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4" w:customStyle="1">
    <w:name w:val="Grid Table 4 - Accent 2"/>
    <w:basedOn w:val="68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5" w:customStyle="1">
    <w:name w:val="Grid Table 4 - Accent 3"/>
    <w:basedOn w:val="68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6" w:customStyle="1">
    <w:name w:val="Grid Table 4 - Accent 4"/>
    <w:basedOn w:val="68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7" w:customStyle="1">
    <w:name w:val="Grid Table 4 - Accent 5"/>
    <w:basedOn w:val="685"/>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8" w:customStyle="1">
    <w:name w:val="Grid Table 4 - Accent 6"/>
    <w:basedOn w:val="685"/>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9" w:customStyle="1">
    <w:name w:val="Grid Table 5 Dark"/>
    <w:basedOn w:val="68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1" w:customStyle="1">
    <w:name w:val="Grid Table 5 Dark - Accent 2"/>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2" w:customStyle="1">
    <w:name w:val="Grid Table 5 Dark - Accent 3"/>
    <w:basedOn w:val="68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3" w:customStyle="1">
    <w:name w:val="Grid Table 5 Dark- Accent 4"/>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4" w:customStyle="1">
    <w:name w:val="Grid Table 5 Dark - Accent 5"/>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5" w:customStyle="1">
    <w:name w:val="Grid Table 5 Dark - Accent 6"/>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6" w:customStyle="1">
    <w:name w:val="Grid Table 6 Colorful"/>
    <w:basedOn w:val="68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6 Colorful - Accent 1"/>
    <w:basedOn w:val="68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8" w:customStyle="1">
    <w:name w:val="Grid Table 6 Colorful - Accent 2"/>
    <w:basedOn w:val="6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9" w:customStyle="1">
    <w:name w:val="Grid Table 6 Colorful - Accent 3"/>
    <w:basedOn w:val="68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0" w:customStyle="1">
    <w:name w:val="Grid Table 6 Colorful - Accent 4"/>
    <w:basedOn w:val="685"/>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1" w:customStyle="1">
    <w:name w:val="Grid Table 6 Colorful - Accent 5"/>
    <w:basedOn w:val="68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2" w:customStyle="1">
    <w:name w:val="Grid Table 6 Colorful - Accent 6"/>
    <w:basedOn w:val="68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3"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basedOn w:val="68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basedOn w:val="685"/>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basedOn w:val="68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basedOn w:val="68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basedOn w:val="68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basedOn w:val="68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basedOn w:val="685"/>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2" w:customStyle="1">
    <w:name w:val="List Table 1 Light - Accent 2"/>
    <w:basedOn w:val="68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3" w:customStyle="1">
    <w:name w:val="List Table 1 Light - Accent 3"/>
    <w:basedOn w:val="68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4" w:customStyle="1">
    <w:name w:val="List Table 1 Light - Accent 4"/>
    <w:basedOn w:val="68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5" w:customStyle="1">
    <w:name w:val="List Table 1 Light - Accent 5"/>
    <w:basedOn w:val="68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6" w:customStyle="1">
    <w:name w:val="List Table 1 Light - Accent 6"/>
    <w:basedOn w:val="68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7"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basedOn w:val="68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9" w:customStyle="1">
    <w:name w:val="List Table 2 - Accent 2"/>
    <w:basedOn w:val="68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0" w:customStyle="1">
    <w:name w:val="List Table 2 - Accent 3"/>
    <w:basedOn w:val="68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1" w:customStyle="1">
    <w:name w:val="List Table 2 - Accent 4"/>
    <w:basedOn w:val="68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2" w:customStyle="1">
    <w:name w:val="List Table 2 - Accent 5"/>
    <w:basedOn w:val="685"/>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3" w:customStyle="1">
    <w:name w:val="List Table 2 - Accent 6"/>
    <w:basedOn w:val="68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4"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basedOn w:val="68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6" w:customStyle="1">
    <w:name w:val="List Table 3 - Accent 2"/>
    <w:basedOn w:val="6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7" w:customStyle="1">
    <w:name w:val="List Table 3 - Accent 3"/>
    <w:basedOn w:val="68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8" w:customStyle="1">
    <w:name w:val="List Table 3 - Accent 4"/>
    <w:basedOn w:val="68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9" w:customStyle="1">
    <w:name w:val="List Table 3 - Accent 5"/>
    <w:basedOn w:val="685"/>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0" w:customStyle="1">
    <w:name w:val="List Table 3 - Accent 6"/>
    <w:basedOn w:val="68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1"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basedOn w:val="68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4 - Accent 2"/>
    <w:basedOn w:val="68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4" w:customStyle="1">
    <w:name w:val="List Table 4 - Accent 3"/>
    <w:basedOn w:val="68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5" w:customStyle="1">
    <w:name w:val="List Table 4 - Accent 4"/>
    <w:basedOn w:val="68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6" w:customStyle="1">
    <w:name w:val="List Table 4 - Accent 5"/>
    <w:basedOn w:val="68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7" w:customStyle="1">
    <w:name w:val="List Table 4 - Accent 6"/>
    <w:basedOn w:val="68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8"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1"/>
    <w:basedOn w:val="68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2"/>
    <w:basedOn w:val="68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3"/>
    <w:basedOn w:val="68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4"/>
    <w:basedOn w:val="685"/>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5"/>
    <w:basedOn w:val="68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6"/>
    <w:basedOn w:val="68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6 Colorful - Accent 1"/>
    <w:basedOn w:val="685"/>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7" w:customStyle="1">
    <w:name w:val="List Table 6 Colorful - Accent 2"/>
    <w:basedOn w:val="68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8" w:customStyle="1">
    <w:name w:val="List Table 6 Colorful - Accent 3"/>
    <w:basedOn w:val="68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9" w:customStyle="1">
    <w:name w:val="List Table 6 Colorful - Accent 4"/>
    <w:basedOn w:val="68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0" w:customStyle="1">
    <w:name w:val="List Table 6 Colorful - Accent 5"/>
    <w:basedOn w:val="68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1" w:customStyle="1">
    <w:name w:val="List Table 6 Colorful - Accent 6"/>
    <w:basedOn w:val="68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2"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basedOn w:val="68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basedOn w:val="68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basedOn w:val="68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basedOn w:val="68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basedOn w:val="68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basedOn w:val="68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9" w:customStyle="1">
    <w:name w:val="Lined - Accent"/>
    <w:basedOn w:val="68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basedOn w:val="68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1" w:customStyle="1">
    <w:name w:val="Lined - Accent 2"/>
    <w:basedOn w:val="68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2" w:customStyle="1">
    <w:name w:val="Lined - Accent 3"/>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3" w:customStyle="1">
    <w:name w:val="Lined - Accent 4"/>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4" w:customStyle="1">
    <w:name w:val="Lined - Accent 5"/>
    <w:basedOn w:val="68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5" w:customStyle="1">
    <w:name w:val="Lined - Accent 6"/>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6" w:customStyle="1">
    <w:name w:val="Bordered &amp; Lined - Accent"/>
    <w:basedOn w:val="68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basedOn w:val="68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Bordered &amp; Lined - Accent 2"/>
    <w:basedOn w:val="68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Bordered &amp; Lined - Accent 3"/>
    <w:basedOn w:val="68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Bordered &amp; Lined - Accent 4"/>
    <w:basedOn w:val="68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Bordered &amp; Lined - Accent 5"/>
    <w:basedOn w:val="685"/>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Bordered &amp; Lined - Accent 6"/>
    <w:basedOn w:val="68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w:basedOn w:val="6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basedOn w:val="685"/>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5" w:customStyle="1">
    <w:name w:val="Bordered - Accent 2"/>
    <w:basedOn w:val="68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6" w:customStyle="1">
    <w:name w:val="Bordered - Accent 3"/>
    <w:basedOn w:val="6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7" w:customStyle="1">
    <w:name w:val="Bordered - Accent 4"/>
    <w:basedOn w:val="685"/>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8" w:customStyle="1">
    <w:name w:val="Bordered - Accent 5"/>
    <w:basedOn w:val="68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9" w:customStyle="1">
    <w:name w:val="Bordered - Accent 6"/>
    <w:basedOn w:val="6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0" w:customStyle="1">
    <w:name w:val="Footnote Text Char"/>
    <w:link w:val="704"/>
    <w:uiPriority w:val="99"/>
    <w:qFormat/>
    <w:rPr>
      <w:sz w:val="18"/>
    </w:rPr>
  </w:style>
  <w:style w:type="character" w:styleId="861" w:customStyle="1">
    <w:name w:val="Endnote Text Char"/>
    <w:link w:val="698"/>
    <w:uiPriority w:val="99"/>
    <w:rPr>
      <w:sz w:val="20"/>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Default"/>
    <w:basedOn w:val="674"/>
    <w:uiPriority w:val="0"/>
    <w:semiHidden/>
    <w:qFormat/>
    <w:pPr>
      <w:jc w:val="left"/>
    </w:pPr>
    <w:rPr>
      <w:rFonts w:ascii="宋体" w:hAnsi="Calibri" w:cs="宋体"/>
      <w:color w:val="000000"/>
      <w:sz w:val="24"/>
    </w:rPr>
  </w:style>
  <w:style w:type="character" w:styleId="864" w:customStyle="1">
    <w:name w:val="页眉 Char"/>
    <w:basedOn w:val="684"/>
    <w:link w:val="700"/>
    <w:uiPriority w:val="0"/>
    <w:qFormat/>
    <w:rPr>
      <w:rFonts w:asciiTheme="minorHAnsi" w:hAnsiTheme="minorHAnsi" w:eastAsiaTheme="minorEastAsia" w:cstheme="minorBidi"/>
      <w:sz w:val="18"/>
      <w:szCs w:val="18"/>
    </w:rPr>
  </w:style>
  <w:style w:type="character" w:styleId="865" w:customStyle="1">
    <w:name w:val="页脚 Char"/>
    <w:basedOn w:val="684"/>
    <w:link w:val="699"/>
    <w:uiPriority w:val="0"/>
    <w:qFormat/>
    <w:rPr>
      <w:rFonts w:asciiTheme="minorHAnsi" w:hAnsiTheme="minorHAnsi" w:eastAsiaTheme="minorEastAsia" w:cstheme="minorBidi"/>
      <w:sz w:val="18"/>
      <w:szCs w:val="18"/>
    </w:rPr>
  </w:style>
  <w:style w:type="paragraph" w:styleId="866" w:customStyle="1">
    <w:name w:val="普通正文"/>
    <w:basedOn w:val="674"/>
    <w:uiPriority w:val="0"/>
    <w:qFormat/>
    <w:pPr>
      <w:ind w:firstLine="480"/>
      <w:jc w:val="left"/>
      <w:spacing w:before="120" w:after="120" w:line="360" w:lineRule="auto"/>
    </w:pPr>
    <w:rPr>
      <w:rFonts w:ascii="Arial" w:hAnsi="Arial" w:eastAsia="等线" w:cs="Arial"/>
      <w:sz w:val="24"/>
      <w:szCs w:val="24"/>
    </w:rPr>
  </w:style>
  <w:style w:type="paragraph" w:styleId="867" w:customStyle="1">
    <w:name w:val="正文首行缩进 21"/>
    <w:basedOn w:val="868"/>
    <w:uiPriority w:val="0"/>
    <w:qFormat/>
    <w:pPr>
      <w:ind w:firstLine="420"/>
    </w:pPr>
  </w:style>
  <w:style w:type="paragraph" w:styleId="868" w:customStyle="1">
    <w:name w:val="正文文本缩进1"/>
    <w:basedOn w:val="674"/>
    <w:uiPriority w:val="0"/>
    <w:qFormat/>
    <w:pPr>
      <w:ind w:left="420"/>
      <w:spacing w:after="120"/>
    </w:pPr>
  </w:style>
  <w:style w:type="character" w:styleId="869" w:customStyle="1">
    <w:name w:val="标题 1 Char"/>
    <w:link w:val="675"/>
    <w:uiPriority w:val="0"/>
    <w:qFormat/>
    <w:rPr>
      <w:rFonts w:ascii="Arial" w:hAnsi="Arial" w:eastAsia="宋体" w:cs="Arial"/>
      <w:b/>
      <w:color w:val="000000"/>
      <w:sz w:val="32"/>
      <w:szCs w:val="21"/>
      <w:lang w:eastAsia="en-US"/>
    </w:rPr>
  </w:style>
  <w:style w:type="paragraph" w:styleId="870" w:customStyle="1">
    <w:name w:val="表格文字"/>
    <w:basedOn w:val="871"/>
    <w:next w:val="690"/>
    <w:uiPriority w:val="0"/>
    <w:qFormat/>
    <w:pPr>
      <w:jc w:val="left"/>
    </w:pPr>
    <w:rPr>
      <w:sz w:val="18"/>
    </w:rPr>
  </w:style>
  <w:style w:type="paragraph" w:styleId="871" w:customStyle="1">
    <w:name w:val="表格文字（两侧对齐）"/>
    <w:basedOn w:val="674"/>
    <w:uiPriority w:val="0"/>
    <w:qFormat/>
    <w:rPr>
      <w:sz w:val="20"/>
      <w:szCs w:val="24"/>
    </w:rPr>
  </w:style>
  <w:style w:type="numbering" w:styleId="10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杨翠萍</cp:lastModifiedBy>
  <cp:revision>274</cp:revision>
  <dcterms:created xsi:type="dcterms:W3CDTF">2014-10-29T12:08:00Z</dcterms:created>
  <dcterms:modified xsi:type="dcterms:W3CDTF">2025-11-18T09:12:50Z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3B081012FAFB4F788CC59A4D17EFD6FA_13</vt:lpwstr>
  </property>
  <property fmtid="{D5CDD505-2E9C-101B-9397-08002B2CF9AE}" pid="4" name="KSOTemplateDocerSaveRecord">
    <vt:lpwstr>eyJoZGlkIjoiYjkyZmNhZmMwYTRkMzdjNDc0ZDBiODA4ZTNmNjg2YzYiLCJ1c2VySWQiOiIyMDI4OTY5NyJ9</vt:lpwstr>
  </property>
</Properties>
</file>